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5EA" w:rsidRDefault="007565EA" w:rsidP="00B03DF7">
      <w:pPr>
        <w:pStyle w:val="Titre"/>
        <w:jc w:val="center"/>
      </w:pPr>
      <w:bookmarkStart w:id="0" w:name="_GoBack"/>
      <w:bookmarkEnd w:id="0"/>
      <w:r>
        <w:rPr>
          <w:noProof/>
        </w:rPr>
        <w:drawing>
          <wp:inline distT="0" distB="0" distL="0" distR="0" wp14:anchorId="0766E506" wp14:editId="116CD17A">
            <wp:extent cx="5760720" cy="392112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DJ léger.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921125"/>
                    </a:xfrm>
                    <a:prstGeom prst="rect">
                      <a:avLst/>
                    </a:prstGeom>
                  </pic:spPr>
                </pic:pic>
              </a:graphicData>
            </a:graphic>
          </wp:inline>
        </w:drawing>
      </w:r>
    </w:p>
    <w:p w:rsidR="007565EA" w:rsidRDefault="007565EA" w:rsidP="00B03DF7">
      <w:pPr>
        <w:pStyle w:val="Titre"/>
        <w:jc w:val="center"/>
      </w:pPr>
    </w:p>
    <w:p w:rsidR="001B1FDA" w:rsidRPr="001B1FDA" w:rsidRDefault="001B1FDA" w:rsidP="001B1FDA"/>
    <w:p w:rsidR="00B03DF7" w:rsidRPr="007565EA" w:rsidRDefault="00240DEE" w:rsidP="00B03DF7">
      <w:pPr>
        <w:pStyle w:val="Titre"/>
        <w:jc w:val="center"/>
        <w:rPr>
          <w:sz w:val="72"/>
          <w:szCs w:val="72"/>
        </w:rPr>
      </w:pPr>
      <w:r w:rsidRPr="007565EA">
        <w:rPr>
          <w:sz w:val="72"/>
          <w:szCs w:val="72"/>
        </w:rPr>
        <w:t>Bilan d’activité de l’ODJ 201</w:t>
      </w:r>
      <w:r w:rsidR="00BE1B48" w:rsidRPr="007565EA">
        <w:rPr>
          <w:sz w:val="72"/>
          <w:szCs w:val="72"/>
        </w:rPr>
        <w:t>1</w:t>
      </w:r>
      <w:r w:rsidRPr="007565EA">
        <w:rPr>
          <w:sz w:val="72"/>
          <w:szCs w:val="72"/>
        </w:rPr>
        <w:t>-2015</w:t>
      </w:r>
    </w:p>
    <w:p w:rsidR="00E4126C" w:rsidRDefault="00B03DF7" w:rsidP="006100F0">
      <w:pPr>
        <w:pStyle w:val="Titre1"/>
      </w:pPr>
      <w:r w:rsidRPr="00B03DF7">
        <w:br w:type="column"/>
      </w:r>
      <w:bookmarkStart w:id="1" w:name="_Toc317963393"/>
      <w:r w:rsidR="008C6984">
        <w:lastRenderedPageBreak/>
        <w:t>Avant propos du Président de l’ODJ</w:t>
      </w:r>
      <w:bookmarkEnd w:id="1"/>
    </w:p>
    <w:p w:rsidR="00F57829" w:rsidRDefault="00F57829" w:rsidP="00F57829">
      <w:r>
        <w:t xml:space="preserve">Cinq ans déjà : l’Observatoire des jeux annoncé dans la loi du 12 mai 2010 est créé par décret le 9 mars 2011. </w:t>
      </w:r>
    </w:p>
    <w:p w:rsidR="00F57829" w:rsidRDefault="00F57829" w:rsidP="00F57829">
      <w:r>
        <w:t xml:space="preserve">Il est conçu dès l’origine, et c’est important de le rappeler, comme un des rouages d’un ensemble destiné à coordonner le secteur des jeux d’argent en France. </w:t>
      </w:r>
    </w:p>
    <w:p w:rsidR="00F57829" w:rsidRDefault="00F57829" w:rsidP="00F57829">
      <w:r>
        <w:t xml:space="preserve">En effet, la loi de 2010 ne se limite pas, comme on le pense trop souvent à l’ouverture à la concurrence des jeux en ligne et à la création de l’autorité chargée de leur régulation. </w:t>
      </w:r>
    </w:p>
    <w:p w:rsidR="00F57829" w:rsidRDefault="00F57829" w:rsidP="00F57829">
      <w:r>
        <w:t xml:space="preserve">Elle traite du champ des jeux d’argent dans son ensemble avec deux préoccupations : </w:t>
      </w:r>
    </w:p>
    <w:p w:rsidR="00F57829" w:rsidRDefault="00F57829" w:rsidP="00F57829">
      <w:r>
        <w:t>-Fixer les grands axes de la politique des jeux : l’article premier de la loi les énumère et cinq ans après ils restent d’actualité</w:t>
      </w:r>
      <w:r w:rsidR="000C27D7">
        <w:t xml:space="preserve"> </w:t>
      </w:r>
      <w:r>
        <w:t>et le resteront longtemps. En effet tant qu’il y aura des jeux d’argent nous devrons assurer la protection des joueurs, la pérennité du marché régulé, la lutte contre l’offre illégale et le blanchiment, l’engagement d’offrir des paris sincères et donc de prévenir les manipulations sportives.</w:t>
      </w:r>
    </w:p>
    <w:p w:rsidR="00F57829" w:rsidRDefault="00F57829" w:rsidP="00F57829">
      <w:r>
        <w:t>- Mettre en place une structure de coordination : le législateur est conscient dès 2010 que notre système, trop éclaté en plusieurs tutelles et autorités, n’est plus adapté aux évolutions encore en germe à l’époque mais déjà sensibles et confie cette mission de coordination au</w:t>
      </w:r>
      <w:r w:rsidR="000C27D7">
        <w:t xml:space="preserve"> </w:t>
      </w:r>
      <w:r>
        <w:t>comité consultatif des jeux (CCJ) ; l’Observatoire des jeux et les commissions spécialisées l’une pour les casinos et jeux de cercle, la deuxième</w:t>
      </w:r>
      <w:r w:rsidR="000C27D7">
        <w:t xml:space="preserve"> </w:t>
      </w:r>
      <w:r>
        <w:t>pour les jeux et paris sous droits exclusif complète</w:t>
      </w:r>
      <w:r w:rsidR="00045594">
        <w:t>nt</w:t>
      </w:r>
      <w:r>
        <w:t xml:space="preserve"> cet ensemble. </w:t>
      </w:r>
    </w:p>
    <w:p w:rsidR="00F57829" w:rsidRDefault="00F57829" w:rsidP="00F57829">
      <w:r>
        <w:t xml:space="preserve">Quand la présidence de l’Observatoire m’est proposée en mars 2011, je n’ai pour seule expérience en matière de jeux d’argent que celle que me donnent mes fonctions de chef du service du Contrôle général économique et financier qui contrôle, parmi les 500 organismes de son champ d’intervention, la FDJ et le PMU. </w:t>
      </w:r>
    </w:p>
    <w:p w:rsidR="00F57829" w:rsidRDefault="00F57829" w:rsidP="00F57829">
      <w:r>
        <w:t xml:space="preserve">Certes, par l’intermédiaire du chef de la mission des jeux d’alors, Jean-Paul Holz que je tiens à remercier tout particulièrement, je disposais d’une sensibilisation permanente aux enjeux économiques et sociaux du secteur des jeux, qui s’est révélée fort utile. </w:t>
      </w:r>
    </w:p>
    <w:p w:rsidR="00F57829" w:rsidRDefault="00F57829" w:rsidP="00F57829">
      <w:r>
        <w:t xml:space="preserve">Mais ma décision n’a été véritablement confortée qu’à l’issue de la série d’entretiens que j’ai menés dès ma nomination avec mes sept collègues qui composaient l’Observatoire des jeux : à défaut des moyens financiers dont on avait omis de doter l’Observatoire, j’étais assuré de disposer d’un solide réseau de compétences et d’expériences couvrant l’ensemble du secteur : </w:t>
      </w:r>
    </w:p>
    <w:p w:rsidR="00F57829" w:rsidRDefault="00045594" w:rsidP="00F57829">
      <w:r>
        <w:t xml:space="preserve">-la recherche, </w:t>
      </w:r>
      <w:r w:rsidR="00F57829">
        <w:t xml:space="preserve">avec Jeanne Etiemble directrice </w:t>
      </w:r>
      <w:r>
        <w:t xml:space="preserve">de recherche </w:t>
      </w:r>
      <w:r w:rsidR="00F57829">
        <w:t>à l’Inserm, qui avait coordonné le groupe d’expertise collective sur les jeux de hasard et d’argent et Je</w:t>
      </w:r>
      <w:r>
        <w:t>an-</w:t>
      </w:r>
      <w:r w:rsidR="00F57829">
        <w:t>Pol Tassin, neurobiologiste,</w:t>
      </w:r>
      <w:r w:rsidR="000C27D7">
        <w:t xml:space="preserve"> </w:t>
      </w:r>
      <w:r w:rsidR="00F57829">
        <w:t xml:space="preserve">directeur de recherche à l’Inserm ; </w:t>
      </w:r>
    </w:p>
    <w:p w:rsidR="00F57829" w:rsidRDefault="00F57829" w:rsidP="00F57829">
      <w:r>
        <w:t>-la santé</w:t>
      </w:r>
      <w:r w:rsidR="00045594">
        <w:t>,</w:t>
      </w:r>
      <w:r>
        <w:t xml:space="preserve"> avec Marc Valleur, psychiatre, médecin-chef de l’hôpital Marmottan ;</w:t>
      </w:r>
      <w:r w:rsidR="000C27D7">
        <w:t xml:space="preserve"> </w:t>
      </w:r>
    </w:p>
    <w:p w:rsidR="00F57829" w:rsidRDefault="00F57829" w:rsidP="00F57829">
      <w:r>
        <w:t>- les associations familiales</w:t>
      </w:r>
      <w:r w:rsidR="00045594">
        <w:t>,</w:t>
      </w:r>
      <w:r>
        <w:t xml:space="preserve"> avec Olivier Gérard représentant de l’UNAF et Christiane Terry, membre de Conseil économique, social et environnemental ; </w:t>
      </w:r>
    </w:p>
    <w:p w:rsidR="00F57829" w:rsidRDefault="00F57829" w:rsidP="00F57829">
      <w:r>
        <w:t>-l’expérience opérationnelle sur la</w:t>
      </w:r>
      <w:r w:rsidR="000C27D7">
        <w:t xml:space="preserve"> </w:t>
      </w:r>
      <w:r>
        <w:t>prévention de l’addiction</w:t>
      </w:r>
      <w:r w:rsidR="00045594">
        <w:t>,</w:t>
      </w:r>
      <w:r>
        <w:t xml:space="preserve"> avec Hélène Gisserot, procureur général honoraire à la Cour des Comptes et première Présidente de la Commission du jeu responsable (COJER qui a inspiré la COJEX), et Jean-M</w:t>
      </w:r>
      <w:r w:rsidR="001B1FDA">
        <w:t xml:space="preserve">ichel Costes, directeur </w:t>
      </w:r>
      <w:r>
        <w:t xml:space="preserve">de l’OFDT. </w:t>
      </w:r>
    </w:p>
    <w:p w:rsidR="00F57829" w:rsidRDefault="00F57829" w:rsidP="00F57829">
      <w:r>
        <w:t xml:space="preserve">Nous avons également bénéficié aussi d’un soutien sans faille de la part du sénateur François Trucy : rapporteur de la loi de 2010, auteur de plusieurs rapports parlementaires, fin connaisseur des arcanes de ce secteur, il avait conçu, voulu et porté avec détermination tout au long des débats parlementaires, la création </w:t>
      </w:r>
      <w:r>
        <w:lastRenderedPageBreak/>
        <w:t xml:space="preserve">du CCJ et de « ses annexes ». L’Observatoire des jeux lui doit beaucoup. Je lui adresse ici toute mon admiration et ma reconnaissance. </w:t>
      </w:r>
    </w:p>
    <w:p w:rsidR="00F57829" w:rsidRDefault="00F57829" w:rsidP="00F57829">
      <w:r>
        <w:t xml:space="preserve">Le 6 avril 2011 dès la séance d’installation de l’Observatoire, nous sommes donc en mesure de présenter un plan d’action et un programme de travail alors que nous ne disposons d’aucun autre moyen que la bonne volonté, l’engagement et la détermination de faire vivre ensemble et envers et contre tout l’Observatoire des jeux. </w:t>
      </w:r>
    </w:p>
    <w:p w:rsidR="00F57829" w:rsidRDefault="00F57829" w:rsidP="00F57829">
      <w:r>
        <w:t>Et il me semble que nous y sommes parvenus : en témoignent les pages suivantes qui retracent ces cinq années d’activité.</w:t>
      </w:r>
      <w:r w:rsidR="000C27D7">
        <w:t xml:space="preserve"> </w:t>
      </w:r>
    </w:p>
    <w:p w:rsidR="00F57829" w:rsidRDefault="00F57829" w:rsidP="00F57829">
      <w:r>
        <w:t>Puisqu’il me faut résumer en quelques lignes l’activité d’un mandat collectif de cinq ans,</w:t>
      </w:r>
      <w:r w:rsidR="000C27D7">
        <w:t xml:space="preserve"> </w:t>
      </w:r>
      <w:r>
        <w:t xml:space="preserve">j’évoquerais trois points forts </w:t>
      </w:r>
    </w:p>
    <w:p w:rsidR="00F57829" w:rsidRDefault="00F57829" w:rsidP="00F57829">
      <w:r>
        <w:t>•</w:t>
      </w:r>
      <w:r>
        <w:tab/>
        <w:t xml:space="preserve">Premièrement, grâce à l’action de l’Observatoire des jeux la France est un des rares pays européens qui dispose de chiffres documentés et réguliers sur le taux de prévalence des jeux d’argent en France : les deux enquêtes successives (2009 et 2015) permettent de suivre les évolutions et d’appuyer les analyses sur des chiffres solides et documentés. L’Observatoire est là exactement dans son rôle : il éclaire les décideurs publics et permet en outre que la France soit exemplaire et cité comme référence par nos partenaires. </w:t>
      </w:r>
    </w:p>
    <w:p w:rsidR="00F57829" w:rsidRDefault="00F57829" w:rsidP="00F57829">
      <w:r>
        <w:t>•</w:t>
      </w:r>
      <w:r>
        <w:tab/>
        <w:t xml:space="preserve">Deuxièmement : l’Observatoire est aujourd’hui connu et reconnu dans le monde de la recherche évidemment mais plus généralement dans le monde du jeu d’argent et auprès de tous les acteurs qui le composent. Les polémiques qui ont entouré sa création sont éteintes et n’ont plus lieu d’être. Il faut encore œuvrer pour obtenir des crédits qui permettront de développer la recherche : c’est un des enjeux importants dans les prochaines années. L’ARJEL, avec l’Observatoire des jeux va financer cette année un projet de rechercher d’e-thérapie pour l’accompagnement des joueurs problématiques validés dans l’appel à projets de l’IRESP : c’est un premier pas qui n’a pas été simple à mettre en place mais il faut bien entendu persévérer et là encore l’Observatoire des jeux est un acteur qui compte désormais. </w:t>
      </w:r>
    </w:p>
    <w:p w:rsidR="00F57829" w:rsidRDefault="00F57829" w:rsidP="00F57829">
      <w:r>
        <w:t>•</w:t>
      </w:r>
      <w:r>
        <w:tab/>
        <w:t>Troisièmement : le réseau de partenariats que l’Observatoire des jeux a bâti consciencieusement au cours de ces cinq années, en France bien sûr mais aussi et surtout à l’international et il agit là en prospecteur éclairé. Il faut aller chercher les meilleures pratiques il faut échanger et comparer, il faut coopérer. Dans mon rôle de Président de l’ARJEL je me rends compte tous les jours à quel point dans le secteur des jeux d’argent la dimension internationale est essentielle. Pour l’Observatoire c’est bien entendu la même chose.</w:t>
      </w:r>
    </w:p>
    <w:p w:rsidR="00F57829" w:rsidRDefault="00F57829" w:rsidP="00F57829">
      <w:r>
        <w:t xml:space="preserve">Ces acquis sont d’autant plus importants que nous devons rester plus que jamais vigilants : la demande et la pratique du jeu d’argent s’intensifient, se mondialisent et il importe que l’Etat reste ferme sur les objectifs définis par la loi de 2010 et continue de privilégier un jeu récréatif et responsable. </w:t>
      </w:r>
    </w:p>
    <w:p w:rsidR="00F57829" w:rsidRDefault="00F57829" w:rsidP="00F57829">
      <w:r>
        <w:t>Mon mandat touche ainsi à sa fin : je pars riche de compétences nouvelles et de souvenirs heureux</w:t>
      </w:r>
      <w:r w:rsidR="000C27D7">
        <w:t xml:space="preserve"> </w:t>
      </w:r>
      <w:r>
        <w:t xml:space="preserve">avec le sentiment du devoir accompli. En même temps je ne pars pas tout à fait puisque l’ARJEL est un des partenaires naturels de l’Observatoire des jeux et je poursuivrai dans cette voie : j’ai notamment le projet de porter auprès de la commission et de mes collègues régulateurs l’idée d’un Observatoire européen. </w:t>
      </w:r>
    </w:p>
    <w:p w:rsidR="008B5FC3" w:rsidRDefault="008B5FC3" w:rsidP="00E4126C">
      <w:pPr>
        <w:rPr>
          <w:highlight w:val="yellow"/>
        </w:rPr>
      </w:pPr>
    </w:p>
    <w:p w:rsidR="008C6984" w:rsidRPr="001B1FDA" w:rsidRDefault="00B03DF7" w:rsidP="00B03DF7">
      <w:pPr>
        <w:jc w:val="right"/>
        <w:rPr>
          <w:b/>
        </w:rPr>
      </w:pPr>
      <w:r w:rsidRPr="001B1FDA">
        <w:rPr>
          <w:b/>
        </w:rPr>
        <w:t>Charles Coppolani</w:t>
      </w:r>
    </w:p>
    <w:p w:rsidR="008C6984" w:rsidRDefault="008C6984" w:rsidP="00E4126C"/>
    <w:p w:rsidR="008C6984" w:rsidRPr="00CE77CE" w:rsidRDefault="008C6984" w:rsidP="00CE77CE">
      <w:pPr>
        <w:spacing w:before="0" w:line="240" w:lineRule="auto"/>
      </w:pPr>
      <w:r>
        <w:br w:type="page"/>
      </w:r>
      <w:r w:rsidRPr="008C6984">
        <w:rPr>
          <w:b/>
          <w:sz w:val="24"/>
          <w:szCs w:val="24"/>
        </w:rPr>
        <w:lastRenderedPageBreak/>
        <w:t>SOMMAIRE</w:t>
      </w:r>
    </w:p>
    <w:p w:rsidR="00555555" w:rsidRDefault="008C6984">
      <w:pPr>
        <w:pStyle w:val="TM1"/>
        <w:tabs>
          <w:tab w:val="right" w:pos="9062"/>
        </w:tabs>
        <w:rPr>
          <w:rFonts w:eastAsiaTheme="minorEastAsia" w:cstheme="minorBidi"/>
          <w:b w:val="0"/>
          <w:noProof/>
          <w:sz w:val="24"/>
          <w:szCs w:val="24"/>
          <w:lang w:eastAsia="ja-JP"/>
        </w:rPr>
      </w:pPr>
      <w:r>
        <w:rPr>
          <w:b w:val="0"/>
        </w:rPr>
        <w:fldChar w:fldCharType="begin"/>
      </w:r>
      <w:r>
        <w:rPr>
          <w:b w:val="0"/>
        </w:rPr>
        <w:instrText xml:space="preserve"> TOC \o "1-3" </w:instrText>
      </w:r>
      <w:r>
        <w:rPr>
          <w:b w:val="0"/>
        </w:rPr>
        <w:fldChar w:fldCharType="separate"/>
      </w:r>
      <w:r w:rsidR="00555555">
        <w:rPr>
          <w:noProof/>
        </w:rPr>
        <w:t>Avant propos du Président de l’ODJ, Charles Coppolani</w:t>
      </w:r>
      <w:r w:rsidR="00555555">
        <w:rPr>
          <w:noProof/>
        </w:rPr>
        <w:tab/>
      </w:r>
      <w:r w:rsidR="00555555">
        <w:rPr>
          <w:noProof/>
        </w:rPr>
        <w:fldChar w:fldCharType="begin"/>
      </w:r>
      <w:r w:rsidR="00555555">
        <w:rPr>
          <w:noProof/>
        </w:rPr>
        <w:instrText xml:space="preserve"> PAGEREF _Toc317963393 \h </w:instrText>
      </w:r>
      <w:r w:rsidR="00555555">
        <w:rPr>
          <w:noProof/>
        </w:rPr>
      </w:r>
      <w:r w:rsidR="00555555">
        <w:rPr>
          <w:noProof/>
        </w:rPr>
        <w:fldChar w:fldCharType="separate"/>
      </w:r>
      <w:r w:rsidR="004F4670">
        <w:rPr>
          <w:noProof/>
        </w:rPr>
        <w:t>2</w:t>
      </w:r>
      <w:r w:rsidR="00555555">
        <w:rPr>
          <w:noProof/>
        </w:rPr>
        <w:fldChar w:fldCharType="end"/>
      </w:r>
    </w:p>
    <w:p w:rsidR="00555555" w:rsidRDefault="00555555">
      <w:pPr>
        <w:pStyle w:val="TM1"/>
        <w:tabs>
          <w:tab w:val="right" w:pos="9062"/>
        </w:tabs>
        <w:rPr>
          <w:rFonts w:eastAsiaTheme="minorEastAsia" w:cstheme="minorBidi"/>
          <w:b w:val="0"/>
          <w:noProof/>
          <w:sz w:val="24"/>
          <w:szCs w:val="24"/>
          <w:lang w:eastAsia="ja-JP"/>
        </w:rPr>
      </w:pPr>
      <w:r>
        <w:rPr>
          <w:noProof/>
        </w:rPr>
        <w:t>Mise en place et fonctionnement institutionnel</w:t>
      </w:r>
      <w:r>
        <w:rPr>
          <w:noProof/>
        </w:rPr>
        <w:tab/>
      </w:r>
      <w:r>
        <w:rPr>
          <w:noProof/>
        </w:rPr>
        <w:fldChar w:fldCharType="begin"/>
      </w:r>
      <w:r>
        <w:rPr>
          <w:noProof/>
        </w:rPr>
        <w:instrText xml:space="preserve"> PAGEREF _Toc317963394 \h </w:instrText>
      </w:r>
      <w:r>
        <w:rPr>
          <w:noProof/>
        </w:rPr>
      </w:r>
      <w:r>
        <w:rPr>
          <w:noProof/>
        </w:rPr>
        <w:fldChar w:fldCharType="separate"/>
      </w:r>
      <w:r w:rsidR="004F4670">
        <w:rPr>
          <w:noProof/>
        </w:rPr>
        <w:t>5</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Contexte</w:t>
      </w:r>
      <w:r>
        <w:rPr>
          <w:noProof/>
        </w:rPr>
        <w:tab/>
      </w:r>
      <w:r>
        <w:rPr>
          <w:noProof/>
        </w:rPr>
        <w:fldChar w:fldCharType="begin"/>
      </w:r>
      <w:r>
        <w:rPr>
          <w:noProof/>
        </w:rPr>
        <w:instrText xml:space="preserve"> PAGEREF _Toc317963395 \h </w:instrText>
      </w:r>
      <w:r>
        <w:rPr>
          <w:noProof/>
        </w:rPr>
      </w:r>
      <w:r>
        <w:rPr>
          <w:noProof/>
        </w:rPr>
        <w:fldChar w:fldCharType="separate"/>
      </w:r>
      <w:r w:rsidR="004F4670">
        <w:rPr>
          <w:noProof/>
        </w:rPr>
        <w:t>5</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Commission plénière</w:t>
      </w:r>
      <w:r>
        <w:rPr>
          <w:noProof/>
        </w:rPr>
        <w:tab/>
      </w:r>
      <w:r>
        <w:rPr>
          <w:noProof/>
        </w:rPr>
        <w:fldChar w:fldCharType="begin"/>
      </w:r>
      <w:r>
        <w:rPr>
          <w:noProof/>
        </w:rPr>
        <w:instrText xml:space="preserve"> PAGEREF _Toc317963396 \h </w:instrText>
      </w:r>
      <w:r>
        <w:rPr>
          <w:noProof/>
        </w:rPr>
      </w:r>
      <w:r>
        <w:rPr>
          <w:noProof/>
        </w:rPr>
        <w:fldChar w:fldCharType="separate"/>
      </w:r>
      <w:r w:rsidR="004F4670">
        <w:rPr>
          <w:noProof/>
        </w:rPr>
        <w:t>6</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Composition</w:t>
      </w:r>
      <w:r>
        <w:rPr>
          <w:noProof/>
        </w:rPr>
        <w:tab/>
      </w:r>
      <w:r>
        <w:rPr>
          <w:noProof/>
        </w:rPr>
        <w:fldChar w:fldCharType="begin"/>
      </w:r>
      <w:r>
        <w:rPr>
          <w:noProof/>
        </w:rPr>
        <w:instrText xml:space="preserve"> PAGEREF _Toc317963397 \h </w:instrText>
      </w:r>
      <w:r>
        <w:rPr>
          <w:noProof/>
        </w:rPr>
      </w:r>
      <w:r>
        <w:rPr>
          <w:noProof/>
        </w:rPr>
        <w:fldChar w:fldCharType="separate"/>
      </w:r>
      <w:r w:rsidR="004F4670">
        <w:rPr>
          <w:noProof/>
        </w:rPr>
        <w:t>6</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Réunions</w:t>
      </w:r>
      <w:r>
        <w:rPr>
          <w:noProof/>
        </w:rPr>
        <w:tab/>
      </w:r>
      <w:r>
        <w:rPr>
          <w:noProof/>
        </w:rPr>
        <w:fldChar w:fldCharType="begin"/>
      </w:r>
      <w:r>
        <w:rPr>
          <w:noProof/>
        </w:rPr>
        <w:instrText xml:space="preserve"> PAGEREF _Toc317963398 \h </w:instrText>
      </w:r>
      <w:r>
        <w:rPr>
          <w:noProof/>
        </w:rPr>
      </w:r>
      <w:r>
        <w:rPr>
          <w:noProof/>
        </w:rPr>
        <w:fldChar w:fldCharType="separate"/>
      </w:r>
      <w:r w:rsidR="004F4670">
        <w:rPr>
          <w:noProof/>
        </w:rPr>
        <w:t>6</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Avis</w:t>
      </w:r>
      <w:r>
        <w:rPr>
          <w:noProof/>
        </w:rPr>
        <w:tab/>
      </w:r>
      <w:r>
        <w:rPr>
          <w:noProof/>
        </w:rPr>
        <w:fldChar w:fldCharType="begin"/>
      </w:r>
      <w:r>
        <w:rPr>
          <w:noProof/>
        </w:rPr>
        <w:instrText xml:space="preserve"> PAGEREF _Toc317963399 \h </w:instrText>
      </w:r>
      <w:r>
        <w:rPr>
          <w:noProof/>
        </w:rPr>
      </w:r>
      <w:r>
        <w:rPr>
          <w:noProof/>
        </w:rPr>
        <w:fldChar w:fldCharType="separate"/>
      </w:r>
      <w:r w:rsidR="004F4670">
        <w:rPr>
          <w:noProof/>
        </w:rPr>
        <w:t>6</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Programme de travail</w:t>
      </w:r>
      <w:r>
        <w:rPr>
          <w:noProof/>
        </w:rPr>
        <w:tab/>
      </w:r>
      <w:r>
        <w:rPr>
          <w:noProof/>
        </w:rPr>
        <w:fldChar w:fldCharType="begin"/>
      </w:r>
      <w:r>
        <w:rPr>
          <w:noProof/>
        </w:rPr>
        <w:instrText xml:space="preserve"> PAGEREF _Toc317963400 \h </w:instrText>
      </w:r>
      <w:r>
        <w:rPr>
          <w:noProof/>
        </w:rPr>
      </w:r>
      <w:r>
        <w:rPr>
          <w:noProof/>
        </w:rPr>
        <w:fldChar w:fldCharType="separate"/>
      </w:r>
      <w:r w:rsidR="004F4670">
        <w:rPr>
          <w:noProof/>
        </w:rPr>
        <w:t>6</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Problématique</w:t>
      </w:r>
      <w:r>
        <w:rPr>
          <w:noProof/>
        </w:rPr>
        <w:tab/>
      </w:r>
      <w:r>
        <w:rPr>
          <w:noProof/>
        </w:rPr>
        <w:fldChar w:fldCharType="begin"/>
      </w:r>
      <w:r>
        <w:rPr>
          <w:noProof/>
        </w:rPr>
        <w:instrText xml:space="preserve"> PAGEREF _Toc317963401 \h </w:instrText>
      </w:r>
      <w:r>
        <w:rPr>
          <w:noProof/>
        </w:rPr>
      </w:r>
      <w:r>
        <w:rPr>
          <w:noProof/>
        </w:rPr>
        <w:fldChar w:fldCharType="separate"/>
      </w:r>
      <w:r w:rsidR="004F4670">
        <w:rPr>
          <w:noProof/>
        </w:rPr>
        <w:t>7</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Les priorités de travail</w:t>
      </w:r>
      <w:r>
        <w:rPr>
          <w:noProof/>
        </w:rPr>
        <w:tab/>
      </w:r>
      <w:r>
        <w:rPr>
          <w:noProof/>
        </w:rPr>
        <w:fldChar w:fldCharType="begin"/>
      </w:r>
      <w:r>
        <w:rPr>
          <w:noProof/>
        </w:rPr>
        <w:instrText xml:space="preserve"> PAGEREF _Toc317963402 \h </w:instrText>
      </w:r>
      <w:r>
        <w:rPr>
          <w:noProof/>
        </w:rPr>
      </w:r>
      <w:r>
        <w:rPr>
          <w:noProof/>
        </w:rPr>
        <w:fldChar w:fldCharType="separate"/>
      </w:r>
      <w:r w:rsidR="004F4670">
        <w:rPr>
          <w:noProof/>
        </w:rPr>
        <w:t>7</w:t>
      </w:r>
      <w:r>
        <w:rPr>
          <w:noProof/>
        </w:rPr>
        <w:fldChar w:fldCharType="end"/>
      </w:r>
    </w:p>
    <w:p w:rsidR="00555555" w:rsidRDefault="00555555">
      <w:pPr>
        <w:pStyle w:val="TM1"/>
        <w:tabs>
          <w:tab w:val="right" w:pos="9062"/>
        </w:tabs>
        <w:rPr>
          <w:rFonts w:eastAsiaTheme="minorEastAsia" w:cstheme="minorBidi"/>
          <w:b w:val="0"/>
          <w:noProof/>
          <w:sz w:val="24"/>
          <w:szCs w:val="24"/>
          <w:lang w:eastAsia="ja-JP"/>
        </w:rPr>
      </w:pPr>
      <w:r>
        <w:rPr>
          <w:noProof/>
        </w:rPr>
        <w:t>Activités</w:t>
      </w:r>
      <w:r>
        <w:rPr>
          <w:noProof/>
        </w:rPr>
        <w:tab/>
      </w:r>
      <w:r>
        <w:rPr>
          <w:noProof/>
        </w:rPr>
        <w:fldChar w:fldCharType="begin"/>
      </w:r>
      <w:r>
        <w:rPr>
          <w:noProof/>
        </w:rPr>
        <w:instrText xml:space="preserve"> PAGEREF _Toc317963403 \h </w:instrText>
      </w:r>
      <w:r>
        <w:rPr>
          <w:noProof/>
        </w:rPr>
      </w:r>
      <w:r>
        <w:rPr>
          <w:noProof/>
        </w:rPr>
        <w:fldChar w:fldCharType="separate"/>
      </w:r>
      <w:r w:rsidR="004F4670">
        <w:rPr>
          <w:noProof/>
        </w:rPr>
        <w:t>8</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Monitorage</w:t>
      </w:r>
      <w:r>
        <w:rPr>
          <w:noProof/>
        </w:rPr>
        <w:tab/>
      </w:r>
      <w:r>
        <w:rPr>
          <w:noProof/>
        </w:rPr>
        <w:fldChar w:fldCharType="begin"/>
      </w:r>
      <w:r>
        <w:rPr>
          <w:noProof/>
        </w:rPr>
        <w:instrText xml:space="preserve"> PAGEREF _Toc317963404 \h </w:instrText>
      </w:r>
      <w:r>
        <w:rPr>
          <w:noProof/>
        </w:rPr>
      </w:r>
      <w:r>
        <w:rPr>
          <w:noProof/>
        </w:rPr>
        <w:fldChar w:fldCharType="separate"/>
      </w:r>
      <w:r w:rsidR="004F4670">
        <w:rPr>
          <w:noProof/>
        </w:rPr>
        <w:t>8</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Le modèle logique</w:t>
      </w:r>
      <w:r>
        <w:rPr>
          <w:noProof/>
        </w:rPr>
        <w:tab/>
      </w:r>
      <w:r>
        <w:rPr>
          <w:noProof/>
        </w:rPr>
        <w:fldChar w:fldCharType="begin"/>
      </w:r>
      <w:r>
        <w:rPr>
          <w:noProof/>
        </w:rPr>
        <w:instrText xml:space="preserve"> PAGEREF _Toc317963405 \h </w:instrText>
      </w:r>
      <w:r>
        <w:rPr>
          <w:noProof/>
        </w:rPr>
      </w:r>
      <w:r>
        <w:rPr>
          <w:noProof/>
        </w:rPr>
        <w:fldChar w:fldCharType="separate"/>
      </w:r>
      <w:r w:rsidR="004F4670">
        <w:rPr>
          <w:noProof/>
        </w:rPr>
        <w:t>8</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Le champ d’observation</w:t>
      </w:r>
      <w:r>
        <w:rPr>
          <w:noProof/>
        </w:rPr>
        <w:tab/>
      </w:r>
      <w:r>
        <w:rPr>
          <w:noProof/>
        </w:rPr>
        <w:fldChar w:fldCharType="begin"/>
      </w:r>
      <w:r>
        <w:rPr>
          <w:noProof/>
        </w:rPr>
        <w:instrText xml:space="preserve"> PAGEREF _Toc317963406 \h </w:instrText>
      </w:r>
      <w:r>
        <w:rPr>
          <w:noProof/>
        </w:rPr>
      </w:r>
      <w:r>
        <w:rPr>
          <w:noProof/>
        </w:rPr>
        <w:fldChar w:fldCharType="separate"/>
      </w:r>
      <w:r w:rsidR="004F4670">
        <w:rPr>
          <w:noProof/>
        </w:rPr>
        <w:t>8</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Etudes et enquêtes</w:t>
      </w:r>
      <w:r>
        <w:rPr>
          <w:noProof/>
        </w:rPr>
        <w:tab/>
      </w:r>
      <w:r>
        <w:rPr>
          <w:noProof/>
        </w:rPr>
        <w:fldChar w:fldCharType="begin"/>
      </w:r>
      <w:r>
        <w:rPr>
          <w:noProof/>
        </w:rPr>
        <w:instrText xml:space="preserve"> PAGEREF _Toc317963407 \h </w:instrText>
      </w:r>
      <w:r>
        <w:rPr>
          <w:noProof/>
        </w:rPr>
      </w:r>
      <w:r>
        <w:rPr>
          <w:noProof/>
        </w:rPr>
        <w:fldChar w:fldCharType="separate"/>
      </w:r>
      <w:r w:rsidR="004F4670">
        <w:rPr>
          <w:noProof/>
        </w:rPr>
        <w:t>9</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E-ENJEU 2012 (ODJ/OFDT)</w:t>
      </w:r>
      <w:r>
        <w:rPr>
          <w:noProof/>
        </w:rPr>
        <w:tab/>
      </w:r>
      <w:r>
        <w:rPr>
          <w:noProof/>
        </w:rPr>
        <w:fldChar w:fldCharType="begin"/>
      </w:r>
      <w:r>
        <w:rPr>
          <w:noProof/>
        </w:rPr>
        <w:instrText xml:space="preserve"> PAGEREF _Toc317963408 \h </w:instrText>
      </w:r>
      <w:r>
        <w:rPr>
          <w:noProof/>
        </w:rPr>
      </w:r>
      <w:r>
        <w:rPr>
          <w:noProof/>
        </w:rPr>
        <w:fldChar w:fldCharType="separate"/>
      </w:r>
      <w:r w:rsidR="004F4670">
        <w:rPr>
          <w:noProof/>
        </w:rPr>
        <w:t>10</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ENJEU 2014 (ODJ/Inpes)</w:t>
      </w:r>
      <w:r>
        <w:rPr>
          <w:noProof/>
        </w:rPr>
        <w:tab/>
      </w:r>
      <w:r>
        <w:rPr>
          <w:noProof/>
        </w:rPr>
        <w:fldChar w:fldCharType="begin"/>
      </w:r>
      <w:r>
        <w:rPr>
          <w:noProof/>
        </w:rPr>
        <w:instrText xml:space="preserve"> PAGEREF _Toc317963409 \h </w:instrText>
      </w:r>
      <w:r>
        <w:rPr>
          <w:noProof/>
        </w:rPr>
      </w:r>
      <w:r>
        <w:rPr>
          <w:noProof/>
        </w:rPr>
        <w:fldChar w:fldCharType="separate"/>
      </w:r>
      <w:r w:rsidR="004F4670">
        <w:rPr>
          <w:noProof/>
        </w:rPr>
        <w:t>11</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E-ENJEU2015 (ODJ/GFK)</w:t>
      </w:r>
      <w:r>
        <w:rPr>
          <w:noProof/>
        </w:rPr>
        <w:tab/>
      </w:r>
      <w:r>
        <w:rPr>
          <w:noProof/>
        </w:rPr>
        <w:fldChar w:fldCharType="begin"/>
      </w:r>
      <w:r>
        <w:rPr>
          <w:noProof/>
        </w:rPr>
        <w:instrText xml:space="preserve"> PAGEREF _Toc317963410 \h </w:instrText>
      </w:r>
      <w:r>
        <w:rPr>
          <w:noProof/>
        </w:rPr>
      </w:r>
      <w:r>
        <w:rPr>
          <w:noProof/>
        </w:rPr>
        <w:fldChar w:fldCharType="separate"/>
      </w:r>
      <w:r w:rsidR="004F4670">
        <w:rPr>
          <w:noProof/>
        </w:rPr>
        <w:t>12</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Etude coût-bénéfice</w:t>
      </w:r>
      <w:r>
        <w:rPr>
          <w:noProof/>
        </w:rPr>
        <w:tab/>
      </w:r>
      <w:r>
        <w:rPr>
          <w:noProof/>
        </w:rPr>
        <w:fldChar w:fldCharType="begin"/>
      </w:r>
      <w:r>
        <w:rPr>
          <w:noProof/>
        </w:rPr>
        <w:instrText xml:space="preserve"> PAGEREF _Toc317963411 \h </w:instrText>
      </w:r>
      <w:r>
        <w:rPr>
          <w:noProof/>
        </w:rPr>
      </w:r>
      <w:r>
        <w:rPr>
          <w:noProof/>
        </w:rPr>
        <w:fldChar w:fldCharType="separate"/>
      </w:r>
      <w:r w:rsidR="004F4670">
        <w:rPr>
          <w:noProof/>
        </w:rPr>
        <w:t>12</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Etude taux de retour</w:t>
      </w:r>
      <w:r>
        <w:rPr>
          <w:noProof/>
        </w:rPr>
        <w:tab/>
      </w:r>
      <w:r>
        <w:rPr>
          <w:noProof/>
        </w:rPr>
        <w:fldChar w:fldCharType="begin"/>
      </w:r>
      <w:r>
        <w:rPr>
          <w:noProof/>
        </w:rPr>
        <w:instrText xml:space="preserve"> PAGEREF _Toc317963412 \h </w:instrText>
      </w:r>
      <w:r>
        <w:rPr>
          <w:noProof/>
        </w:rPr>
      </w:r>
      <w:r>
        <w:rPr>
          <w:noProof/>
        </w:rPr>
        <w:fldChar w:fldCharType="separate"/>
      </w:r>
      <w:r w:rsidR="004F4670">
        <w:rPr>
          <w:noProof/>
        </w:rPr>
        <w:t>13</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Modèle prédictif du jeu problématique (ODJ/Arjel)</w:t>
      </w:r>
      <w:r>
        <w:rPr>
          <w:noProof/>
        </w:rPr>
        <w:tab/>
      </w:r>
      <w:r>
        <w:rPr>
          <w:noProof/>
        </w:rPr>
        <w:fldChar w:fldCharType="begin"/>
      </w:r>
      <w:r>
        <w:rPr>
          <w:noProof/>
        </w:rPr>
        <w:instrText xml:space="preserve"> PAGEREF _Toc317963413 \h </w:instrText>
      </w:r>
      <w:r>
        <w:rPr>
          <w:noProof/>
        </w:rPr>
      </w:r>
      <w:r>
        <w:rPr>
          <w:noProof/>
        </w:rPr>
        <w:fldChar w:fldCharType="separate"/>
      </w:r>
      <w:r w:rsidR="004F4670">
        <w:rPr>
          <w:noProof/>
        </w:rPr>
        <w:t>14</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Publications</w:t>
      </w:r>
      <w:r>
        <w:rPr>
          <w:noProof/>
        </w:rPr>
        <w:tab/>
      </w:r>
      <w:r>
        <w:rPr>
          <w:noProof/>
        </w:rPr>
        <w:fldChar w:fldCharType="begin"/>
      </w:r>
      <w:r>
        <w:rPr>
          <w:noProof/>
        </w:rPr>
        <w:instrText xml:space="preserve"> PAGEREF _Toc317963414 \h </w:instrText>
      </w:r>
      <w:r>
        <w:rPr>
          <w:noProof/>
        </w:rPr>
      </w:r>
      <w:r>
        <w:rPr>
          <w:noProof/>
        </w:rPr>
        <w:fldChar w:fldCharType="separate"/>
      </w:r>
      <w:r w:rsidR="004F4670">
        <w:rPr>
          <w:noProof/>
        </w:rPr>
        <w:t>15</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Notes ODJ</w:t>
      </w:r>
      <w:r>
        <w:rPr>
          <w:noProof/>
        </w:rPr>
        <w:tab/>
      </w:r>
      <w:r>
        <w:rPr>
          <w:noProof/>
        </w:rPr>
        <w:fldChar w:fldCharType="begin"/>
      </w:r>
      <w:r>
        <w:rPr>
          <w:noProof/>
        </w:rPr>
        <w:instrText xml:space="preserve"> PAGEREF _Toc317963415 \h </w:instrText>
      </w:r>
      <w:r>
        <w:rPr>
          <w:noProof/>
        </w:rPr>
      </w:r>
      <w:r>
        <w:rPr>
          <w:noProof/>
        </w:rPr>
        <w:fldChar w:fldCharType="separate"/>
      </w:r>
      <w:r w:rsidR="004F4670">
        <w:rPr>
          <w:noProof/>
        </w:rPr>
        <w:t>15</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Articles</w:t>
      </w:r>
      <w:r>
        <w:rPr>
          <w:noProof/>
        </w:rPr>
        <w:tab/>
      </w:r>
      <w:r>
        <w:rPr>
          <w:noProof/>
        </w:rPr>
        <w:fldChar w:fldCharType="begin"/>
      </w:r>
      <w:r>
        <w:rPr>
          <w:noProof/>
        </w:rPr>
        <w:instrText xml:space="preserve"> PAGEREF _Toc317963416 \h </w:instrText>
      </w:r>
      <w:r>
        <w:rPr>
          <w:noProof/>
        </w:rPr>
      </w:r>
      <w:r>
        <w:rPr>
          <w:noProof/>
        </w:rPr>
        <w:fldChar w:fldCharType="separate"/>
      </w:r>
      <w:r w:rsidR="004F4670">
        <w:rPr>
          <w:noProof/>
        </w:rPr>
        <w:t>16</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Site internet</w:t>
      </w:r>
      <w:r>
        <w:rPr>
          <w:noProof/>
        </w:rPr>
        <w:tab/>
      </w:r>
      <w:r>
        <w:rPr>
          <w:noProof/>
        </w:rPr>
        <w:fldChar w:fldCharType="begin"/>
      </w:r>
      <w:r>
        <w:rPr>
          <w:noProof/>
        </w:rPr>
        <w:instrText xml:space="preserve"> PAGEREF _Toc317963417 \h </w:instrText>
      </w:r>
      <w:r>
        <w:rPr>
          <w:noProof/>
        </w:rPr>
      </w:r>
      <w:r>
        <w:rPr>
          <w:noProof/>
        </w:rPr>
        <w:fldChar w:fldCharType="separate"/>
      </w:r>
      <w:r w:rsidR="004F4670">
        <w:rPr>
          <w:noProof/>
        </w:rPr>
        <w:t>16</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Expertises</w:t>
      </w:r>
      <w:r>
        <w:rPr>
          <w:noProof/>
        </w:rPr>
        <w:tab/>
      </w:r>
      <w:r>
        <w:rPr>
          <w:noProof/>
        </w:rPr>
        <w:fldChar w:fldCharType="begin"/>
      </w:r>
      <w:r>
        <w:rPr>
          <w:noProof/>
        </w:rPr>
        <w:instrText xml:space="preserve"> PAGEREF _Toc317963418 \h </w:instrText>
      </w:r>
      <w:r>
        <w:rPr>
          <w:noProof/>
        </w:rPr>
      </w:r>
      <w:r>
        <w:rPr>
          <w:noProof/>
        </w:rPr>
        <w:fldChar w:fldCharType="separate"/>
      </w:r>
      <w:r w:rsidR="004F4670">
        <w:rPr>
          <w:noProof/>
        </w:rPr>
        <w:t>18</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Cojex</w:t>
      </w:r>
      <w:r>
        <w:rPr>
          <w:noProof/>
        </w:rPr>
        <w:tab/>
      </w:r>
      <w:r>
        <w:rPr>
          <w:noProof/>
        </w:rPr>
        <w:fldChar w:fldCharType="begin"/>
      </w:r>
      <w:r>
        <w:rPr>
          <w:noProof/>
        </w:rPr>
        <w:instrText xml:space="preserve"> PAGEREF _Toc317963419 \h </w:instrText>
      </w:r>
      <w:r>
        <w:rPr>
          <w:noProof/>
        </w:rPr>
      </w:r>
      <w:r>
        <w:rPr>
          <w:noProof/>
        </w:rPr>
        <w:fldChar w:fldCharType="separate"/>
      </w:r>
      <w:r w:rsidR="004F4670">
        <w:rPr>
          <w:noProof/>
        </w:rPr>
        <w:t>18</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Guide de la Fédération addiction</w:t>
      </w:r>
      <w:r>
        <w:rPr>
          <w:noProof/>
        </w:rPr>
        <w:tab/>
      </w:r>
      <w:r>
        <w:rPr>
          <w:noProof/>
        </w:rPr>
        <w:fldChar w:fldCharType="begin"/>
      </w:r>
      <w:r>
        <w:rPr>
          <w:noProof/>
        </w:rPr>
        <w:instrText xml:space="preserve"> PAGEREF _Toc317963420 \h </w:instrText>
      </w:r>
      <w:r>
        <w:rPr>
          <w:noProof/>
        </w:rPr>
      </w:r>
      <w:r>
        <w:rPr>
          <w:noProof/>
        </w:rPr>
        <w:fldChar w:fldCharType="separate"/>
      </w:r>
      <w:r w:rsidR="004F4670">
        <w:rPr>
          <w:noProof/>
        </w:rPr>
        <w:t>19</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Programme de prévention « bien joué » de la SEDAP</w:t>
      </w:r>
      <w:r>
        <w:rPr>
          <w:noProof/>
        </w:rPr>
        <w:tab/>
      </w:r>
      <w:r>
        <w:rPr>
          <w:noProof/>
        </w:rPr>
        <w:fldChar w:fldCharType="begin"/>
      </w:r>
      <w:r>
        <w:rPr>
          <w:noProof/>
        </w:rPr>
        <w:instrText xml:space="preserve"> PAGEREF _Toc317963421 \h </w:instrText>
      </w:r>
      <w:r>
        <w:rPr>
          <w:noProof/>
        </w:rPr>
      </w:r>
      <w:r>
        <w:rPr>
          <w:noProof/>
        </w:rPr>
        <w:fldChar w:fldCharType="separate"/>
      </w:r>
      <w:r w:rsidR="004F4670">
        <w:rPr>
          <w:noProof/>
        </w:rPr>
        <w:t>20</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Evaluation du stage « misez sur vous » de l’IJE</w:t>
      </w:r>
      <w:r>
        <w:rPr>
          <w:noProof/>
        </w:rPr>
        <w:tab/>
      </w:r>
      <w:r>
        <w:rPr>
          <w:noProof/>
        </w:rPr>
        <w:fldChar w:fldCharType="begin"/>
      </w:r>
      <w:r>
        <w:rPr>
          <w:noProof/>
        </w:rPr>
        <w:instrText xml:space="preserve"> PAGEREF _Toc317963422 \h </w:instrText>
      </w:r>
      <w:r>
        <w:rPr>
          <w:noProof/>
        </w:rPr>
      </w:r>
      <w:r>
        <w:rPr>
          <w:noProof/>
        </w:rPr>
        <w:fldChar w:fldCharType="separate"/>
      </w:r>
      <w:r w:rsidR="004F4670">
        <w:rPr>
          <w:noProof/>
        </w:rPr>
        <w:t>20</w:t>
      </w:r>
      <w:r>
        <w:rPr>
          <w:noProof/>
        </w:rPr>
        <w:fldChar w:fldCharType="end"/>
      </w:r>
    </w:p>
    <w:p w:rsidR="00555555" w:rsidRDefault="00555555">
      <w:pPr>
        <w:pStyle w:val="TM2"/>
        <w:tabs>
          <w:tab w:val="right" w:pos="9062"/>
        </w:tabs>
        <w:rPr>
          <w:rFonts w:eastAsiaTheme="minorEastAsia" w:cstheme="minorBidi"/>
          <w:i w:val="0"/>
          <w:noProof/>
          <w:sz w:val="24"/>
          <w:szCs w:val="24"/>
          <w:lang w:eastAsia="ja-JP"/>
        </w:rPr>
      </w:pPr>
      <w:r>
        <w:rPr>
          <w:noProof/>
        </w:rPr>
        <w:t>Partenariats</w:t>
      </w:r>
      <w:r>
        <w:rPr>
          <w:noProof/>
        </w:rPr>
        <w:tab/>
      </w:r>
      <w:r>
        <w:rPr>
          <w:noProof/>
        </w:rPr>
        <w:fldChar w:fldCharType="begin"/>
      </w:r>
      <w:r>
        <w:rPr>
          <w:noProof/>
        </w:rPr>
        <w:instrText xml:space="preserve"> PAGEREF _Toc317963423 \h </w:instrText>
      </w:r>
      <w:r>
        <w:rPr>
          <w:noProof/>
        </w:rPr>
      </w:r>
      <w:r>
        <w:rPr>
          <w:noProof/>
        </w:rPr>
        <w:fldChar w:fldCharType="separate"/>
      </w:r>
      <w:r w:rsidR="004F4670">
        <w:rPr>
          <w:noProof/>
        </w:rPr>
        <w:t>21</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Iresp – Appel à projets de recherche</w:t>
      </w:r>
      <w:r>
        <w:rPr>
          <w:noProof/>
        </w:rPr>
        <w:tab/>
      </w:r>
      <w:r>
        <w:rPr>
          <w:noProof/>
        </w:rPr>
        <w:fldChar w:fldCharType="begin"/>
      </w:r>
      <w:r>
        <w:rPr>
          <w:noProof/>
        </w:rPr>
        <w:instrText xml:space="preserve"> PAGEREF _Toc317963424 \h </w:instrText>
      </w:r>
      <w:r>
        <w:rPr>
          <w:noProof/>
        </w:rPr>
      </w:r>
      <w:r>
        <w:rPr>
          <w:noProof/>
        </w:rPr>
        <w:fldChar w:fldCharType="separate"/>
      </w:r>
      <w:r w:rsidR="004F4670">
        <w:rPr>
          <w:noProof/>
        </w:rPr>
        <w:t>21</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Partenariats études et enquêtes : Arjel, Inpes, OFDT</w:t>
      </w:r>
      <w:r>
        <w:rPr>
          <w:noProof/>
        </w:rPr>
        <w:tab/>
      </w:r>
      <w:r>
        <w:rPr>
          <w:noProof/>
        </w:rPr>
        <w:fldChar w:fldCharType="begin"/>
      </w:r>
      <w:r>
        <w:rPr>
          <w:noProof/>
        </w:rPr>
        <w:instrText xml:space="preserve"> PAGEREF _Toc317963425 \h </w:instrText>
      </w:r>
      <w:r>
        <w:rPr>
          <w:noProof/>
        </w:rPr>
      </w:r>
      <w:r>
        <w:rPr>
          <w:noProof/>
        </w:rPr>
        <w:fldChar w:fldCharType="separate"/>
      </w:r>
      <w:r w:rsidR="004F4670">
        <w:rPr>
          <w:noProof/>
        </w:rPr>
        <w:t>22</w:t>
      </w:r>
      <w:r>
        <w:rPr>
          <w:noProof/>
        </w:rPr>
        <w:fldChar w:fldCharType="end"/>
      </w:r>
    </w:p>
    <w:p w:rsidR="00555555" w:rsidRDefault="00555555">
      <w:pPr>
        <w:pStyle w:val="TM3"/>
        <w:tabs>
          <w:tab w:val="right" w:pos="9062"/>
        </w:tabs>
        <w:rPr>
          <w:rFonts w:eastAsiaTheme="minorEastAsia" w:cstheme="minorBidi"/>
          <w:noProof/>
          <w:sz w:val="24"/>
          <w:szCs w:val="24"/>
          <w:lang w:eastAsia="ja-JP"/>
        </w:rPr>
      </w:pPr>
      <w:r>
        <w:rPr>
          <w:noProof/>
        </w:rPr>
        <w:t>Québec et partenariats internationaux</w:t>
      </w:r>
      <w:r>
        <w:rPr>
          <w:noProof/>
        </w:rPr>
        <w:tab/>
      </w:r>
      <w:r>
        <w:rPr>
          <w:noProof/>
        </w:rPr>
        <w:fldChar w:fldCharType="begin"/>
      </w:r>
      <w:r>
        <w:rPr>
          <w:noProof/>
        </w:rPr>
        <w:instrText xml:space="preserve"> PAGEREF _Toc317963426 \h </w:instrText>
      </w:r>
      <w:r>
        <w:rPr>
          <w:noProof/>
        </w:rPr>
      </w:r>
      <w:r>
        <w:rPr>
          <w:noProof/>
        </w:rPr>
        <w:fldChar w:fldCharType="separate"/>
      </w:r>
      <w:r w:rsidR="004F4670">
        <w:rPr>
          <w:noProof/>
        </w:rPr>
        <w:t>22</w:t>
      </w:r>
      <w:r>
        <w:rPr>
          <w:noProof/>
        </w:rPr>
        <w:fldChar w:fldCharType="end"/>
      </w:r>
    </w:p>
    <w:p w:rsidR="00555555" w:rsidRDefault="00555555">
      <w:pPr>
        <w:pStyle w:val="TM1"/>
        <w:tabs>
          <w:tab w:val="right" w:pos="9062"/>
        </w:tabs>
        <w:rPr>
          <w:rFonts w:eastAsiaTheme="minorEastAsia" w:cstheme="minorBidi"/>
          <w:b w:val="0"/>
          <w:noProof/>
          <w:sz w:val="24"/>
          <w:szCs w:val="24"/>
          <w:lang w:eastAsia="ja-JP"/>
        </w:rPr>
      </w:pPr>
      <w:r>
        <w:rPr>
          <w:noProof/>
        </w:rPr>
        <w:t>Annexe 1 : modèle logique pour le monitorage des jeux d’argent et de hasard</w:t>
      </w:r>
      <w:r>
        <w:rPr>
          <w:noProof/>
        </w:rPr>
        <w:tab/>
      </w:r>
      <w:r>
        <w:rPr>
          <w:noProof/>
        </w:rPr>
        <w:fldChar w:fldCharType="begin"/>
      </w:r>
      <w:r>
        <w:rPr>
          <w:noProof/>
        </w:rPr>
        <w:instrText xml:space="preserve"> PAGEREF _Toc317963427 \h </w:instrText>
      </w:r>
      <w:r>
        <w:rPr>
          <w:noProof/>
        </w:rPr>
      </w:r>
      <w:r>
        <w:rPr>
          <w:noProof/>
        </w:rPr>
        <w:fldChar w:fldCharType="separate"/>
      </w:r>
      <w:r w:rsidR="004F4670">
        <w:rPr>
          <w:noProof/>
        </w:rPr>
        <w:t>24</w:t>
      </w:r>
      <w:r>
        <w:rPr>
          <w:noProof/>
        </w:rPr>
        <w:fldChar w:fldCharType="end"/>
      </w:r>
    </w:p>
    <w:p w:rsidR="00555555" w:rsidRDefault="00555555">
      <w:pPr>
        <w:pStyle w:val="TM1"/>
        <w:tabs>
          <w:tab w:val="right" w:pos="9062"/>
        </w:tabs>
        <w:rPr>
          <w:rFonts w:eastAsiaTheme="minorEastAsia" w:cstheme="minorBidi"/>
          <w:b w:val="0"/>
          <w:noProof/>
          <w:sz w:val="24"/>
          <w:szCs w:val="24"/>
          <w:lang w:eastAsia="ja-JP"/>
        </w:rPr>
      </w:pPr>
      <w:r>
        <w:rPr>
          <w:noProof/>
        </w:rPr>
        <w:t>Annexe 2 : modèle de maquette du bulletin de veille législative</w:t>
      </w:r>
      <w:r>
        <w:rPr>
          <w:noProof/>
        </w:rPr>
        <w:tab/>
      </w:r>
      <w:r>
        <w:rPr>
          <w:noProof/>
        </w:rPr>
        <w:fldChar w:fldCharType="begin"/>
      </w:r>
      <w:r>
        <w:rPr>
          <w:noProof/>
        </w:rPr>
        <w:instrText xml:space="preserve"> PAGEREF _Toc317963428 \h </w:instrText>
      </w:r>
      <w:r>
        <w:rPr>
          <w:noProof/>
        </w:rPr>
      </w:r>
      <w:r>
        <w:rPr>
          <w:noProof/>
        </w:rPr>
        <w:fldChar w:fldCharType="separate"/>
      </w:r>
      <w:r w:rsidR="004F4670">
        <w:rPr>
          <w:noProof/>
        </w:rPr>
        <w:t>28</w:t>
      </w:r>
      <w:r>
        <w:rPr>
          <w:noProof/>
        </w:rPr>
        <w:fldChar w:fldCharType="end"/>
      </w:r>
    </w:p>
    <w:p w:rsidR="00555555" w:rsidRDefault="00555555">
      <w:pPr>
        <w:pStyle w:val="TM1"/>
        <w:tabs>
          <w:tab w:val="right" w:pos="9062"/>
        </w:tabs>
        <w:rPr>
          <w:rFonts w:eastAsiaTheme="minorEastAsia" w:cstheme="minorBidi"/>
          <w:b w:val="0"/>
          <w:noProof/>
          <w:sz w:val="24"/>
          <w:szCs w:val="24"/>
          <w:lang w:eastAsia="ja-JP"/>
        </w:rPr>
      </w:pPr>
      <w:r>
        <w:rPr>
          <w:noProof/>
        </w:rPr>
        <w:t>Annexe 3 : modèle de maquette pour l’atlas de l’observatoire des jeux</w:t>
      </w:r>
      <w:r>
        <w:rPr>
          <w:noProof/>
        </w:rPr>
        <w:tab/>
      </w:r>
      <w:r>
        <w:rPr>
          <w:noProof/>
        </w:rPr>
        <w:fldChar w:fldCharType="begin"/>
      </w:r>
      <w:r>
        <w:rPr>
          <w:noProof/>
        </w:rPr>
        <w:instrText xml:space="preserve"> PAGEREF _Toc317963429 \h </w:instrText>
      </w:r>
      <w:r>
        <w:rPr>
          <w:noProof/>
        </w:rPr>
      </w:r>
      <w:r>
        <w:rPr>
          <w:noProof/>
        </w:rPr>
        <w:fldChar w:fldCharType="separate"/>
      </w:r>
      <w:r w:rsidR="004F4670">
        <w:rPr>
          <w:noProof/>
        </w:rPr>
        <w:t>29</w:t>
      </w:r>
      <w:r>
        <w:rPr>
          <w:noProof/>
        </w:rPr>
        <w:fldChar w:fldCharType="end"/>
      </w:r>
    </w:p>
    <w:p w:rsidR="008C6984" w:rsidRPr="008C6984" w:rsidRDefault="008C6984" w:rsidP="008C6984">
      <w:r>
        <w:rPr>
          <w:rFonts w:asciiTheme="minorHAnsi" w:hAnsiTheme="minorHAnsi"/>
          <w:b/>
          <w:sz w:val="22"/>
          <w:szCs w:val="22"/>
        </w:rPr>
        <w:fldChar w:fldCharType="end"/>
      </w:r>
    </w:p>
    <w:p w:rsidR="008C6984" w:rsidRPr="008C6984" w:rsidRDefault="008C6984">
      <w:pPr>
        <w:spacing w:before="0" w:line="240" w:lineRule="auto"/>
      </w:pPr>
      <w:r>
        <w:br w:type="page"/>
      </w:r>
    </w:p>
    <w:p w:rsidR="006100F0" w:rsidRDefault="006100F0" w:rsidP="008C6984">
      <w:pPr>
        <w:pStyle w:val="Titre1"/>
      </w:pPr>
      <w:bookmarkStart w:id="2" w:name="_Toc317963394"/>
      <w:r>
        <w:lastRenderedPageBreak/>
        <w:t>Mise en place et fonctionnement institutionnel</w:t>
      </w:r>
      <w:bookmarkEnd w:id="2"/>
    </w:p>
    <w:p w:rsidR="00240DEE" w:rsidRDefault="00412B89" w:rsidP="006100F0">
      <w:pPr>
        <w:pStyle w:val="Titre2"/>
      </w:pPr>
      <w:bookmarkStart w:id="3" w:name="_Toc317963395"/>
      <w:r>
        <w:t>Contexte</w:t>
      </w:r>
      <w:bookmarkEnd w:id="3"/>
    </w:p>
    <w:p w:rsidR="00AF3052" w:rsidRDefault="00AF3052" w:rsidP="00A45531">
      <w:pPr>
        <w:jc w:val="both"/>
      </w:pPr>
      <w:r>
        <w:t xml:space="preserve">Face à l’essor d’une offre illégale de jeux d'argent et de hasard sur Internet, et pour répondre à une requête de la Commission européenne, </w:t>
      </w:r>
      <w:r w:rsidR="00AD3CAD">
        <w:t>l</w:t>
      </w:r>
      <w:r>
        <w:t>a France s’est dotée d’un nouveau cadre légal et réglementaire régulant le secteur des jeux d'argent et de hasard en ligne. Transposition en droit français d'une directive européenne, la loi du 12 mai 2010 introduit une « ouverture maîtrisée à la concurrence » du marché des paris en ligne (paris sportifs, paris hippiques et jeux de cercle, comme le poker), mettant fin</w:t>
      </w:r>
      <w:r w:rsidR="00AD3CAD">
        <w:t xml:space="preserve"> dans ce domaine</w:t>
      </w:r>
      <w:r w:rsidR="00A80571">
        <w:t xml:space="preserve"> </w:t>
      </w:r>
      <w:r>
        <w:t xml:space="preserve">au monopole d’Etat de la Française des Jeux et du PMU. Elle vise à </w:t>
      </w:r>
      <w:r w:rsidRPr="00831A2D">
        <w:t>rendre accessible une offre légale encadrée, économiquement viable et « compétitive »</w:t>
      </w:r>
      <w:r>
        <w:t xml:space="preserve"> par rapport à l’offre illégale et elle a aussi</w:t>
      </w:r>
      <w:r w:rsidRPr="00831A2D">
        <w:t xml:space="preserve"> pour objectif de lutter contre les sites illégaux.</w:t>
      </w:r>
    </w:p>
    <w:p w:rsidR="00AF3052" w:rsidRDefault="00AF3052" w:rsidP="00A45531">
      <w:pPr>
        <w:jc w:val="both"/>
      </w:pPr>
      <w:r>
        <w:t xml:space="preserve">La loi confie la régulation du marché des jeux d'argent et de hasard en ligne à une autorité administrative indépendante, l’ARJEL (autorité de régulation des jeux en ligne), chargée d'attribuer les agréments aux opérateurs de jeux sur Internet, de contrôler leur activité et de participer, en lien avec les ministères </w:t>
      </w:r>
      <w:r w:rsidR="00A45531">
        <w:t xml:space="preserve">des finances, </w:t>
      </w:r>
      <w:r>
        <w:t>de l'intérieur et de la justice, à la lutte contre l'offre illégale. La loi met en place également une</w:t>
      </w:r>
      <w:r w:rsidRPr="003F2322">
        <w:t xml:space="preserve"> </w:t>
      </w:r>
      <w:r>
        <w:t>nouvelle structure de coordination</w:t>
      </w:r>
      <w:r w:rsidR="00AD3CAD">
        <w:t>,</w:t>
      </w:r>
      <w:r>
        <w:t xml:space="preserve"> le Comité consultatif des jeux (CCJ), qui comporte</w:t>
      </w:r>
      <w:r w:rsidR="00A80571">
        <w:t xml:space="preserve"> </w:t>
      </w:r>
      <w:r>
        <w:t>un observatoire des jeux et deux commissions spécialisées, dénommées respectivement « commission consultative pour la mise en œuvre de la politique d'encadrement des jeux de cercles et de casinos » et « commission consultative pour la mise en œuvre de la politique d'encadrement des jeux et paris sous droits exclusifs ».</w:t>
      </w:r>
    </w:p>
    <w:p w:rsidR="00E612DA" w:rsidRDefault="00891E4D" w:rsidP="00A45531">
      <w:pPr>
        <w:jc w:val="both"/>
      </w:pPr>
      <w:r w:rsidRPr="00891E4D">
        <w:t>L’Observatoire des jeux a été créé par décret du 9 mars 2011 : composé de huit personnalités</w:t>
      </w:r>
      <w:r w:rsidR="00A80571">
        <w:t xml:space="preserve"> </w:t>
      </w:r>
      <w:r w:rsidRPr="00891E4D">
        <w:t>désignées pour cinq ans</w:t>
      </w:r>
      <w:r w:rsidR="009B02A2">
        <w:t>,</w:t>
      </w:r>
      <w:r w:rsidRPr="00891E4D">
        <w:t xml:space="preserve"> il est un des éléments du Co</w:t>
      </w:r>
      <w:r w:rsidR="00AD3CAD">
        <w:t>mité</w:t>
      </w:r>
      <w:r w:rsidRPr="00891E4D">
        <w:t xml:space="preserve"> consultatif des jeux. Il contribue à réaliser les objectifs de la politique de l’Etat en matière de jeux d’argent et de hasard fixés dans l’article premier de la loi et notamment le premier d’entre eux « prévenir le jeu excessif ou pathologique et protéger les mineurs ».</w:t>
      </w:r>
    </w:p>
    <w:p w:rsidR="00891E4D" w:rsidRDefault="00891E4D" w:rsidP="00A45531">
      <w:pPr>
        <w:jc w:val="both"/>
      </w:pPr>
      <w:r>
        <w:t>La création de l’Observatoire était très attendue et a été unanimement saluée à la fois par les opérateurs, les associations, les médecins et les chercheurs. Toutefois des réserves ont été émises sur le point crucial de ses relations avec les opérateurs de jeux et donc sur son indépendance et son efficacité. L’absence de moyens financiers affectés par l’Etat à l’Observatoire au départ a contribué à entretenir une ambigüité sur ce point.</w:t>
      </w:r>
    </w:p>
    <w:p w:rsidR="00891E4D" w:rsidRDefault="00891E4D" w:rsidP="00A45531">
      <w:pPr>
        <w:jc w:val="both"/>
      </w:pPr>
      <w:r>
        <w:t>La mission de l’Observatoire le place au cœur de l’élaboration et de la mise en œuvre des politiques publiques sur les jeux d’argent et de hasard : par ses études et ses observations, il doit éclairer les décideurs publics, leur permettre de prendre des décisions bien «informées », basées sur une approche empirique et sur des faits scientifiquement mesurés.</w:t>
      </w:r>
    </w:p>
    <w:p w:rsidR="00891E4D" w:rsidRDefault="00891E4D" w:rsidP="00A45531">
      <w:pPr>
        <w:jc w:val="both"/>
      </w:pPr>
      <w:r>
        <w:t>Le champ d’action est vaste mais l’Observatoire ne part pas de rien : l’expertise collective de l’INSERM</w:t>
      </w:r>
      <w:r w:rsidR="00A80571">
        <w:t xml:space="preserve"> </w:t>
      </w:r>
      <w:r>
        <w:t>et l’expérience du</w:t>
      </w:r>
      <w:r w:rsidR="009B02A2">
        <w:t xml:space="preserve"> Comité consultatif pour la mise en œuvre de la politique d’encadrement des jeux et du jeu responsable (</w:t>
      </w:r>
      <w:r>
        <w:t>COJER</w:t>
      </w:r>
      <w:r w:rsidR="009B02A2">
        <w:t>)</w:t>
      </w:r>
      <w:r w:rsidR="00A80571">
        <w:t xml:space="preserve"> </w:t>
      </w:r>
      <w:r w:rsidR="009B02A2">
        <w:t>créé en 2006</w:t>
      </w:r>
      <w:r>
        <w:t>, les actions menées sur les autres addictions notamment en matière de toxicomanie constituent des références sur lesquelles l’Observatoire des jeux a pu s’appuyer. La composition de l’Observatoire permet de bénéficier de toutes ces expériences : on y retrouve des représentants des milieux de la recherche et de la santé engagés depuis plusieurs années sur ce sujet. Par ailleurs les différents rapports parlementaires</w:t>
      </w:r>
      <w:r w:rsidR="00A80571">
        <w:t xml:space="preserve"> </w:t>
      </w:r>
      <w:r>
        <w:t>élaborés dans le cadre de la loi de 2010 puis dans</w:t>
      </w:r>
      <w:r w:rsidR="002C61BD">
        <w:t xml:space="preserve"> celui de</w:t>
      </w:r>
      <w:r>
        <w:t xml:space="preserve"> la clause de revoyure qui a suivi, donnent un état complet et documenté de la ques</w:t>
      </w:r>
      <w:r w:rsidR="00C82E0E">
        <w:t>tion et des différents acteurs</w:t>
      </w:r>
    </w:p>
    <w:p w:rsidR="00891E4D" w:rsidRDefault="00891E4D" w:rsidP="00A45531">
      <w:pPr>
        <w:jc w:val="both"/>
      </w:pPr>
      <w:r>
        <w:t>En revanche</w:t>
      </w:r>
      <w:r w:rsidR="002C61BD">
        <w:t>,</w:t>
      </w:r>
      <w:r>
        <w:t xml:space="preserve"> en termes d’études et de mesure</w:t>
      </w:r>
      <w:r w:rsidR="002C61BD">
        <w:t>s,</w:t>
      </w:r>
      <w:r>
        <w:t xml:space="preserve"> beaucoup reste à faire et la France est en retard par rapport notamment à certains de ses voisins européens comme la Grande-Bretagne ou l’Allemagne : la première grande enquête de prévalence du jeu pathologique en France n’a été réalisée que récemment - les résultats ont été publiés en septembre 2011-</w:t>
      </w:r>
      <w:r w:rsidR="002C61BD">
        <w:t>;</w:t>
      </w:r>
      <w:r>
        <w:t xml:space="preserve"> les coûts économiques et sociaux du jeu problématique ne sont pas bien connus et l’addiction au jeu ne s’impose pas encore comme une priorité de santé publique (le volet jeu pathologique n’intègre le plan santé addiction qu’en 2007).</w:t>
      </w:r>
    </w:p>
    <w:p w:rsidR="00240DEE" w:rsidRDefault="00240DEE" w:rsidP="006100F0">
      <w:pPr>
        <w:pStyle w:val="Titre2"/>
      </w:pPr>
      <w:bookmarkStart w:id="4" w:name="_Toc317963396"/>
      <w:r>
        <w:lastRenderedPageBreak/>
        <w:t>Commission plénière</w:t>
      </w:r>
      <w:bookmarkEnd w:id="4"/>
    </w:p>
    <w:p w:rsidR="00240DEE" w:rsidRDefault="00240DEE" w:rsidP="006100F0">
      <w:pPr>
        <w:pStyle w:val="Titre3"/>
      </w:pPr>
      <w:bookmarkStart w:id="5" w:name="_Toc317963397"/>
      <w:r>
        <w:t>Composition</w:t>
      </w:r>
      <w:bookmarkEnd w:id="5"/>
    </w:p>
    <w:p w:rsidR="00CE77CE" w:rsidRDefault="007345A3" w:rsidP="00A45531">
      <w:pPr>
        <w:jc w:val="both"/>
      </w:pPr>
      <w:r>
        <w:t>La commission plénière de l’Observatoire des jeux</w:t>
      </w:r>
      <w:r w:rsidR="00C720A4">
        <w:t xml:space="preserve"> a</w:t>
      </w:r>
      <w:r w:rsidR="00CE77CE">
        <w:t xml:space="preserve"> pour mission de conseiller le collège </w:t>
      </w:r>
      <w:r>
        <w:t xml:space="preserve">du Comité consultatif </w:t>
      </w:r>
      <w:r w:rsidR="00CE77CE">
        <w:t>dans sa mission auprès du Gouvernement ainsi que, à leur demande, les commissions spécialisées.</w:t>
      </w:r>
    </w:p>
    <w:p w:rsidR="00CE77CE" w:rsidRDefault="00CE77CE" w:rsidP="00A45531">
      <w:pPr>
        <w:pStyle w:val="Listepuces"/>
        <w:jc w:val="both"/>
      </w:pPr>
      <w:r>
        <w:t xml:space="preserve"> </w:t>
      </w:r>
      <w:r>
        <w:tab/>
        <w:t>Jeanne Etiemble, directrice honoraire de l’INSERM ;</w:t>
      </w:r>
      <w:r w:rsidR="00A80571">
        <w:t xml:space="preserve"> </w:t>
      </w:r>
      <w:r>
        <w:t>elle a notamment coordonné en 2008 le groupe d’expertise sur</w:t>
      </w:r>
      <w:r w:rsidR="00A80571">
        <w:t xml:space="preserve"> </w:t>
      </w:r>
      <w:r>
        <w:t>l’étude « « Jeux de hasard et d'argent. Contextes et addictions » ;</w:t>
      </w:r>
    </w:p>
    <w:p w:rsidR="00CE77CE" w:rsidRDefault="00CE77CE" w:rsidP="00A45531">
      <w:pPr>
        <w:pStyle w:val="Listepuces"/>
        <w:jc w:val="both"/>
      </w:pPr>
      <w:r>
        <w:t xml:space="preserve"> </w:t>
      </w:r>
      <w:r>
        <w:tab/>
        <w:t>Hélène Gisserot, procureur général honoraire près la</w:t>
      </w:r>
      <w:r w:rsidR="00A80571">
        <w:t xml:space="preserve"> </w:t>
      </w:r>
      <w:r>
        <w:t>Cour des Comptes et présidente de la Commission consultative des jeux et paris sous droits exclusifs (FDJ et PMU) ;</w:t>
      </w:r>
    </w:p>
    <w:p w:rsidR="00CE77CE" w:rsidRDefault="00CE77CE" w:rsidP="00A45531">
      <w:pPr>
        <w:pStyle w:val="Listepuces"/>
        <w:jc w:val="both"/>
      </w:pPr>
      <w:r>
        <w:t xml:space="preserve"> </w:t>
      </w:r>
      <w:r>
        <w:tab/>
        <w:t xml:space="preserve">Christiane Therry, membre du Conseil économique, social et environnemental, </w:t>
      </w:r>
      <w:r w:rsidR="007345A3">
        <w:t>d</w:t>
      </w:r>
      <w:r>
        <w:t>éléguée générale de Familles de France (Groupe UNAF) ;</w:t>
      </w:r>
    </w:p>
    <w:p w:rsidR="00CE77CE" w:rsidRDefault="00CE77CE" w:rsidP="00A45531">
      <w:pPr>
        <w:pStyle w:val="Listepuces"/>
        <w:jc w:val="both"/>
      </w:pPr>
      <w:r>
        <w:t xml:space="preserve"> </w:t>
      </w:r>
      <w:r>
        <w:tab/>
        <w:t xml:space="preserve">Jean-Pol Tassin, </w:t>
      </w:r>
      <w:r w:rsidR="007345A3">
        <w:t>d</w:t>
      </w:r>
      <w:r>
        <w:t>irecteur de recherches au Collège de France (</w:t>
      </w:r>
      <w:r w:rsidR="007345A3">
        <w:t>g</w:t>
      </w:r>
      <w:r>
        <w:t>énétique moléculaire, neurophysiologie et comportement) spécialiste du phénomène de l’addiction ;</w:t>
      </w:r>
    </w:p>
    <w:p w:rsidR="00CE77CE" w:rsidRDefault="00CE77CE" w:rsidP="00A45531">
      <w:pPr>
        <w:pStyle w:val="Listepuces"/>
        <w:jc w:val="both"/>
      </w:pPr>
      <w:r>
        <w:t xml:space="preserve"> </w:t>
      </w:r>
      <w:r>
        <w:tab/>
        <w:t>Marc Valleur</w:t>
      </w:r>
      <w:r w:rsidR="007345A3">
        <w:t>,</w:t>
      </w:r>
      <w:r>
        <w:t xml:space="preserve"> psychiatre et médecin chef de l’hôpital Marmottan, ainsi que spécialiste des soins et de l’accompagnement des pratiques addictives</w:t>
      </w:r>
      <w:r w:rsidR="007345A3">
        <w:t> ;</w:t>
      </w:r>
    </w:p>
    <w:p w:rsidR="00CE77CE" w:rsidRDefault="00CE77CE" w:rsidP="00A45531">
      <w:pPr>
        <w:pStyle w:val="Listepuces"/>
        <w:jc w:val="both"/>
      </w:pPr>
      <w:r>
        <w:t xml:space="preserve"> </w:t>
      </w:r>
      <w:r>
        <w:tab/>
        <w:t xml:space="preserve">Jean-Michel Costes, fondateur de l’Observatoire français des drogues et toxicomanies </w:t>
      </w:r>
      <w:r w:rsidR="007345A3">
        <w:t>qu’</w:t>
      </w:r>
      <w:r>
        <w:t>il a dirigé jusqu’en avril 2011</w:t>
      </w:r>
      <w:r w:rsidR="007345A3">
        <w:t> ;</w:t>
      </w:r>
    </w:p>
    <w:p w:rsidR="00CE77CE" w:rsidRPr="0050043A" w:rsidRDefault="00CE77CE" w:rsidP="00A45531">
      <w:pPr>
        <w:pStyle w:val="Listepuces"/>
        <w:jc w:val="both"/>
      </w:pPr>
      <w:r>
        <w:t xml:space="preserve"> </w:t>
      </w:r>
      <w:r>
        <w:tab/>
      </w:r>
      <w:r w:rsidR="0050043A" w:rsidRPr="006832D9">
        <w:t xml:space="preserve">Olivier </w:t>
      </w:r>
      <w:r w:rsidR="0050043A" w:rsidRPr="0050043A">
        <w:t>Gérard, représentant</w:t>
      </w:r>
      <w:r w:rsidR="00A80571">
        <w:t xml:space="preserve"> </w:t>
      </w:r>
      <w:r w:rsidR="0050043A" w:rsidRPr="0050043A">
        <w:t xml:space="preserve">l’Union </w:t>
      </w:r>
      <w:r w:rsidRPr="0050043A">
        <w:t>des associations familiales</w:t>
      </w:r>
    </w:p>
    <w:p w:rsidR="00CE77CE" w:rsidRDefault="00CE77CE" w:rsidP="00A45531">
      <w:pPr>
        <w:pStyle w:val="Listepuces"/>
        <w:jc w:val="both"/>
      </w:pPr>
      <w:r>
        <w:t xml:space="preserve"> </w:t>
      </w:r>
      <w:r>
        <w:tab/>
        <w:t xml:space="preserve">Charles Coppolani, </w:t>
      </w:r>
      <w:r w:rsidR="007345A3">
        <w:t>p</w:t>
      </w:r>
      <w:r>
        <w:t>résident de l’Observatoire des jeux et</w:t>
      </w:r>
      <w:r w:rsidR="007345A3">
        <w:t xml:space="preserve"> président</w:t>
      </w:r>
      <w:r>
        <w:t xml:space="preserve"> de l'autorité de régulation des jeux en ligne (ARJEL)</w:t>
      </w:r>
      <w:r w:rsidR="007345A3">
        <w:t xml:space="preserve"> depuis </w:t>
      </w:r>
      <w:r w:rsidR="00A80571">
        <w:t>février 2014.</w:t>
      </w:r>
    </w:p>
    <w:p w:rsidR="00240DEE" w:rsidRDefault="00240DEE" w:rsidP="006100F0">
      <w:pPr>
        <w:pStyle w:val="Titre3"/>
      </w:pPr>
      <w:bookmarkStart w:id="6" w:name="_Toc317963398"/>
      <w:r>
        <w:t>Réunions</w:t>
      </w:r>
      <w:bookmarkEnd w:id="6"/>
    </w:p>
    <w:p w:rsidR="00CE77CE" w:rsidRPr="00CE77CE" w:rsidRDefault="00CE77CE" w:rsidP="00A45531">
      <w:pPr>
        <w:jc w:val="both"/>
        <w:rPr>
          <w:b/>
          <w:caps/>
        </w:rPr>
      </w:pPr>
      <w:r w:rsidRPr="00CE77CE">
        <w:t>L’Observatoire des jeux se réunit sur convocation de son président, qui fixe l’ordre du jour après consultation des membres. Il peut aussi se réunir à la demande conjointe de quatre de ses membres sur un ordre du jour qu’ils proposent.</w:t>
      </w:r>
    </w:p>
    <w:p w:rsidR="00CE77CE" w:rsidRDefault="00CE77CE" w:rsidP="00A45531">
      <w:pPr>
        <w:jc w:val="both"/>
        <w:rPr>
          <w:caps/>
        </w:rPr>
      </w:pPr>
      <w:r w:rsidRPr="00CE77CE">
        <w:t>Sur la période 2011 – 2015, les membres de l’Observatoire se sont réunis en moyenne 4 fois par an </w:t>
      </w:r>
      <w:r w:rsidRPr="00CE77CE">
        <w:rPr>
          <w:caps/>
        </w:rPr>
        <w:t xml:space="preserve">: </w:t>
      </w:r>
    </w:p>
    <w:p w:rsidR="00CE77CE" w:rsidRPr="00CE77CE" w:rsidRDefault="00CE77CE" w:rsidP="00A45531">
      <w:pPr>
        <w:pStyle w:val="Listepuces"/>
        <w:jc w:val="both"/>
      </w:pPr>
      <w:r w:rsidRPr="00CE77CE">
        <w:t>01/06/2011</w:t>
      </w:r>
      <w:r w:rsidRPr="00CE77CE">
        <w:rPr>
          <w:caps/>
        </w:rPr>
        <w:t xml:space="preserve">, </w:t>
      </w:r>
      <w:r w:rsidRPr="00CE77CE">
        <w:t>14/09/2011</w:t>
      </w:r>
    </w:p>
    <w:p w:rsidR="00CE77CE" w:rsidRPr="00CE77CE" w:rsidRDefault="00CE77CE" w:rsidP="00A45531">
      <w:pPr>
        <w:pStyle w:val="Listepuces"/>
        <w:jc w:val="both"/>
      </w:pPr>
      <w:r w:rsidRPr="00CE77CE">
        <w:t>11/01/2012</w:t>
      </w:r>
      <w:r w:rsidRPr="00CE77CE">
        <w:rPr>
          <w:caps/>
        </w:rPr>
        <w:t xml:space="preserve">, </w:t>
      </w:r>
      <w:r w:rsidRPr="00CE77CE">
        <w:t>07/03/2012</w:t>
      </w:r>
      <w:r w:rsidRPr="00CE77CE">
        <w:rPr>
          <w:caps/>
        </w:rPr>
        <w:t xml:space="preserve">, </w:t>
      </w:r>
      <w:r w:rsidRPr="00CE77CE">
        <w:t>16/05/2012</w:t>
      </w:r>
      <w:r w:rsidRPr="00CE77CE">
        <w:rPr>
          <w:caps/>
        </w:rPr>
        <w:t xml:space="preserve">, </w:t>
      </w:r>
      <w:r w:rsidRPr="00CE77CE">
        <w:t>20/06/2012</w:t>
      </w:r>
      <w:r w:rsidRPr="00CE77CE">
        <w:rPr>
          <w:caps/>
        </w:rPr>
        <w:t xml:space="preserve">, </w:t>
      </w:r>
      <w:r w:rsidRPr="00CE77CE">
        <w:t>27/06/2012</w:t>
      </w:r>
      <w:r w:rsidRPr="00CE77CE">
        <w:rPr>
          <w:caps/>
        </w:rPr>
        <w:t xml:space="preserve">, </w:t>
      </w:r>
      <w:r w:rsidRPr="00CE77CE">
        <w:t>10/10/2012</w:t>
      </w:r>
      <w:r w:rsidRPr="00CE77CE">
        <w:rPr>
          <w:caps/>
        </w:rPr>
        <w:t xml:space="preserve">, </w:t>
      </w:r>
      <w:r w:rsidRPr="00CE77CE">
        <w:t>04/12/2012</w:t>
      </w:r>
    </w:p>
    <w:p w:rsidR="00CE77CE" w:rsidRPr="00CE77CE" w:rsidRDefault="00CE77CE" w:rsidP="00A45531">
      <w:pPr>
        <w:pStyle w:val="Listepuces"/>
        <w:jc w:val="both"/>
      </w:pPr>
      <w:r w:rsidRPr="00CE77CE">
        <w:rPr>
          <w:caps/>
        </w:rPr>
        <w:t xml:space="preserve">20/02/2013, </w:t>
      </w:r>
      <w:r w:rsidRPr="00CE77CE">
        <w:t>22/05/2013</w:t>
      </w:r>
      <w:r w:rsidRPr="00CE77CE">
        <w:rPr>
          <w:caps/>
        </w:rPr>
        <w:t xml:space="preserve">, </w:t>
      </w:r>
      <w:r w:rsidRPr="00CE77CE">
        <w:t>18/09/2013</w:t>
      </w:r>
      <w:r w:rsidRPr="00CE77CE">
        <w:rPr>
          <w:caps/>
        </w:rPr>
        <w:t xml:space="preserve">, </w:t>
      </w:r>
      <w:r w:rsidRPr="00CE77CE">
        <w:t>27/11/2013</w:t>
      </w:r>
    </w:p>
    <w:p w:rsidR="00CE77CE" w:rsidRPr="00CE77CE" w:rsidRDefault="00CE77CE" w:rsidP="00A45531">
      <w:pPr>
        <w:pStyle w:val="Listepuces"/>
        <w:jc w:val="both"/>
      </w:pPr>
      <w:r w:rsidRPr="00CE77CE">
        <w:rPr>
          <w:caps/>
        </w:rPr>
        <w:t xml:space="preserve">26/03/2014, </w:t>
      </w:r>
      <w:r w:rsidRPr="00CE77CE">
        <w:t>18/06/2014</w:t>
      </w:r>
      <w:r w:rsidRPr="00CE77CE">
        <w:rPr>
          <w:caps/>
        </w:rPr>
        <w:t xml:space="preserve">, </w:t>
      </w:r>
      <w:r w:rsidRPr="00CE77CE">
        <w:t>17/09/2014</w:t>
      </w:r>
    </w:p>
    <w:p w:rsidR="00CE77CE" w:rsidRPr="00CE77CE" w:rsidRDefault="00CE77CE" w:rsidP="00A45531">
      <w:pPr>
        <w:pStyle w:val="Listepuces"/>
        <w:jc w:val="both"/>
      </w:pPr>
      <w:r w:rsidRPr="00CE77CE">
        <w:rPr>
          <w:caps/>
        </w:rPr>
        <w:t xml:space="preserve">14/01/2015, </w:t>
      </w:r>
      <w:r w:rsidRPr="00CE77CE">
        <w:t>13/03/2015</w:t>
      </w:r>
      <w:r w:rsidRPr="00CE77CE">
        <w:rPr>
          <w:caps/>
        </w:rPr>
        <w:t xml:space="preserve">, </w:t>
      </w:r>
      <w:r w:rsidRPr="00CE77CE">
        <w:t>29/09/2015</w:t>
      </w:r>
    </w:p>
    <w:p w:rsidR="00240DEE" w:rsidRDefault="00240DEE" w:rsidP="006100F0">
      <w:pPr>
        <w:pStyle w:val="Titre3"/>
      </w:pPr>
      <w:bookmarkStart w:id="7" w:name="_Toc317963399"/>
      <w:r>
        <w:t>Avis</w:t>
      </w:r>
      <w:bookmarkEnd w:id="7"/>
    </w:p>
    <w:p w:rsidR="00F14B81" w:rsidRDefault="00F14B81" w:rsidP="00A45531">
      <w:pPr>
        <w:jc w:val="both"/>
        <w:rPr>
          <w:rFonts w:cs="Arial"/>
        </w:rPr>
      </w:pPr>
      <w:r>
        <w:t>En lien avec la publication des résultats des principales enquêtes ou études qu’il a pu mener</w:t>
      </w:r>
      <w:r w:rsidRPr="00FF20F6">
        <w:t xml:space="preserve">, l’ODJ </w:t>
      </w:r>
      <w:r>
        <w:t xml:space="preserve">a émis </w:t>
      </w:r>
      <w:r w:rsidRPr="00FF20F6">
        <w:t>des recommandations</w:t>
      </w:r>
      <w:r w:rsidRPr="00FF20F6">
        <w:rPr>
          <w:rFonts w:cs="Arial"/>
        </w:rPr>
        <w:t>, basées sur une approche empirique et sur des faits scientifiquement mesurés</w:t>
      </w:r>
      <w:r>
        <w:rPr>
          <w:rFonts w:cs="Arial"/>
        </w:rPr>
        <w:t>,</w:t>
      </w:r>
      <w:r w:rsidRPr="00FF20F6">
        <w:t xml:space="preserve"> pour aider les décideurs publics dans la régulation de ce secteur d’activité</w:t>
      </w:r>
      <w:r w:rsidRPr="00FF20F6">
        <w:rPr>
          <w:rFonts w:cs="Arial"/>
        </w:rPr>
        <w:t xml:space="preserve">. </w:t>
      </w:r>
    </w:p>
    <w:p w:rsidR="00F14B81" w:rsidRPr="00FF20F6" w:rsidRDefault="00592F26" w:rsidP="00A45531">
      <w:pPr>
        <w:pStyle w:val="Listepuces"/>
        <w:jc w:val="both"/>
      </w:pPr>
      <w:hyperlink r:id="rId10" w:history="1">
        <w:r w:rsidR="00F14B81" w:rsidRPr="00FF20F6">
          <w:rPr>
            <w:color w:val="126F7F"/>
            <w:u w:val="single"/>
          </w:rPr>
          <w:t>Télécharger</w:t>
        </w:r>
      </w:hyperlink>
      <w:r w:rsidR="00F14B81" w:rsidRPr="00FF20F6">
        <w:t xml:space="preserve"> Recommandations, Note ODJ n° 6: Les jeux d'argent et de hasard en France en 2014</w:t>
      </w:r>
    </w:p>
    <w:p w:rsidR="00F14B81" w:rsidRPr="00FF20F6" w:rsidRDefault="00592F26" w:rsidP="00A45531">
      <w:pPr>
        <w:pStyle w:val="Listepuces"/>
        <w:jc w:val="both"/>
      </w:pPr>
      <w:hyperlink r:id="rId11" w:history="1">
        <w:r w:rsidR="00F14B81" w:rsidRPr="00FF20F6">
          <w:rPr>
            <w:color w:val="126F7F"/>
            <w:u w:val="single"/>
          </w:rPr>
          <w:t>Télécharger</w:t>
        </w:r>
      </w:hyperlink>
      <w:r w:rsidR="00F14B81" w:rsidRPr="00FF20F6">
        <w:t xml:space="preserve"> Recommandations, Taux de retour au joueur (TRJ), addiction et bla</w:t>
      </w:r>
      <w:r w:rsidR="00F14B81">
        <w:t>n</w:t>
      </w:r>
      <w:r w:rsidR="00F14B81" w:rsidRPr="00FF20F6">
        <w:t>chiment</w:t>
      </w:r>
    </w:p>
    <w:p w:rsidR="00F14B81" w:rsidRPr="00FF20F6" w:rsidRDefault="00592F26" w:rsidP="00A45531">
      <w:pPr>
        <w:pStyle w:val="Listepuces"/>
        <w:jc w:val="both"/>
      </w:pPr>
      <w:hyperlink r:id="rId12" w:history="1">
        <w:r w:rsidR="00F14B81" w:rsidRPr="00FF20F6">
          <w:rPr>
            <w:color w:val="126F7F"/>
            <w:u w:val="single"/>
          </w:rPr>
          <w:t>Télécharger</w:t>
        </w:r>
      </w:hyperlink>
      <w:r w:rsidR="00F14B81" w:rsidRPr="00FF20F6">
        <w:t xml:space="preserve"> Recommandations, Tendances 85: Les jeux d'argent et de hasard sur Internet en France en 2012</w:t>
      </w:r>
    </w:p>
    <w:p w:rsidR="00F14B81" w:rsidRPr="00F14B81" w:rsidRDefault="00592F26" w:rsidP="00A45531">
      <w:pPr>
        <w:pStyle w:val="Listepuces"/>
        <w:jc w:val="both"/>
      </w:pPr>
      <w:hyperlink r:id="rId13" w:history="1">
        <w:r w:rsidR="00F14B81" w:rsidRPr="00FF20F6">
          <w:rPr>
            <w:color w:val="126F7F"/>
            <w:u w:val="single"/>
          </w:rPr>
          <w:t>Télécharger</w:t>
        </w:r>
      </w:hyperlink>
      <w:r w:rsidR="00F14B81" w:rsidRPr="00FF20F6">
        <w:t xml:space="preserve"> Recommandations, Tendances 77: Les niveaux et pratiques des jeux de hasard et d'argent en 2010</w:t>
      </w:r>
    </w:p>
    <w:p w:rsidR="00240DEE" w:rsidRDefault="006100F0" w:rsidP="006100F0">
      <w:pPr>
        <w:pStyle w:val="Titre2"/>
      </w:pPr>
      <w:bookmarkStart w:id="8" w:name="_Toc317963400"/>
      <w:r>
        <w:t>Programme de travail</w:t>
      </w:r>
      <w:bookmarkEnd w:id="8"/>
    </w:p>
    <w:p w:rsidR="00EF5FB3" w:rsidRDefault="002F274E" w:rsidP="00A45531">
      <w:pPr>
        <w:jc w:val="both"/>
      </w:pPr>
      <w:r>
        <w:lastRenderedPageBreak/>
        <w:t>D</w:t>
      </w:r>
      <w:r w:rsidR="00F605A3">
        <w:t xml:space="preserve">ès son installation les membres de l’Observatoire se sont attachés à </w:t>
      </w:r>
      <w:r w:rsidR="00EF5FB3">
        <w:t>définir une problématique de travail</w:t>
      </w:r>
      <w:r w:rsidR="00F605A3">
        <w:t xml:space="preserve"> </w:t>
      </w:r>
      <w:r w:rsidR="00EF5FB3">
        <w:t xml:space="preserve">et à identifier </w:t>
      </w:r>
      <w:r w:rsidR="00F605A3">
        <w:t>les actions prioritaires à engager</w:t>
      </w:r>
      <w:r w:rsidR="00EF5FB3">
        <w:t xml:space="preserve"> pour les années à venir.</w:t>
      </w:r>
    </w:p>
    <w:p w:rsidR="00E6334F" w:rsidRDefault="00E6334F" w:rsidP="00A45531">
      <w:pPr>
        <w:pStyle w:val="Titre3"/>
        <w:jc w:val="both"/>
      </w:pPr>
      <w:bookmarkStart w:id="9" w:name="_Toc317963401"/>
      <w:r>
        <w:t>Problématique</w:t>
      </w:r>
      <w:bookmarkEnd w:id="9"/>
    </w:p>
    <w:p w:rsidR="00E6334F" w:rsidRDefault="00E6334F" w:rsidP="00A45531">
      <w:pPr>
        <w:jc w:val="both"/>
      </w:pPr>
      <w:r>
        <w:t>Le jeu est un objet ambivalent</w:t>
      </w:r>
      <w:r w:rsidR="007345A3">
        <w:t>,</w:t>
      </w:r>
      <w:r>
        <w:t xml:space="preserve"> car il peut être source de plaisir, stimulateur de l’intelligence et facilitateur des relations sociales mais aussi source de souffrance pour un individu et de désinsertion sociale.</w:t>
      </w:r>
    </w:p>
    <w:p w:rsidR="00E6334F" w:rsidRDefault="00E6334F" w:rsidP="00A45531">
      <w:pPr>
        <w:jc w:val="both"/>
      </w:pPr>
      <w:r>
        <w:t xml:space="preserve">La finalité de l’action de </w:t>
      </w:r>
      <w:r w:rsidR="00EE4AD1">
        <w:t xml:space="preserve">l’Observatoire </w:t>
      </w:r>
      <w:r>
        <w:t>étant orienté</w:t>
      </w:r>
      <w:r w:rsidR="007345A3">
        <w:t>e</w:t>
      </w:r>
      <w:r>
        <w:t xml:space="preserve"> vers l’aide à la décision, il doit régler sa focale sur ce qui est préoccupant, au regard des pouvoirs publics dans le phénomène des jeux. En cela, l’objet de son observation est quelque peu différent de celui d’un centre d’étude académique sur la question. Ainsi, une accentuation forte est donnée au sujet </w:t>
      </w:r>
      <w:r w:rsidR="007345A3">
        <w:t>des</w:t>
      </w:r>
      <w:r>
        <w:t xml:space="preserve"> dommages (sanitaires et sociaux) liés à la pratique des jeux car si ces derniers n’existaient pas, les jeux ne seraient plus un sujet de politique publique.</w:t>
      </w:r>
    </w:p>
    <w:p w:rsidR="00E6334F" w:rsidRDefault="00E6334F" w:rsidP="00A45531">
      <w:pPr>
        <w:jc w:val="both"/>
      </w:pPr>
      <w:r>
        <w:t xml:space="preserve">En matière de jeux, il existe déjà toutes sortes d’informations produites sous une forme quelconque par des opérateurs ou des organismes publics. Le rôle de l’ODJ est, d’une part, de regrouper toutes les informations disponibles pour dresser un bilan national du phénomène des jeux et, d’autre part, de réaliser (ou de faire </w:t>
      </w:r>
      <w:r w:rsidR="007345A3">
        <w:t>réaliser</w:t>
      </w:r>
      <w:r>
        <w:t>) des enquêtes ou études sur les domaines non couverts par l’information existante.</w:t>
      </w:r>
    </w:p>
    <w:p w:rsidR="00E6334F" w:rsidRDefault="00E6334F" w:rsidP="00E6334F">
      <w:pPr>
        <w:pStyle w:val="Titre3"/>
      </w:pPr>
      <w:bookmarkStart w:id="10" w:name="_Toc317963402"/>
      <w:r>
        <w:t>Les priorités de travail</w:t>
      </w:r>
      <w:bookmarkEnd w:id="10"/>
    </w:p>
    <w:p w:rsidR="00BE1B48" w:rsidRDefault="00375B85" w:rsidP="002F274E">
      <w:r>
        <w:t>Les</w:t>
      </w:r>
      <w:r w:rsidR="00BE1B48">
        <w:t xml:space="preserve"> priorités de travail suivantes</w:t>
      </w:r>
      <w:r>
        <w:t xml:space="preserve"> ont été définies.</w:t>
      </w:r>
    </w:p>
    <w:p w:rsidR="00543694" w:rsidRDefault="00543694" w:rsidP="00543694">
      <w:pPr>
        <w:pStyle w:val="Titre4"/>
      </w:pPr>
      <w:r>
        <w:t>Monitorage</w:t>
      </w:r>
    </w:p>
    <w:p w:rsidR="00543694" w:rsidRDefault="00543694" w:rsidP="00A45531">
      <w:pPr>
        <w:jc w:val="both"/>
      </w:pPr>
      <w:r>
        <w:t xml:space="preserve">La première priorité de l’ODJ est de concevoir et mettre en place un "système de monitorage" sur le phénomène du jeu d'argent et de hasard, orienté dans une perspective d'aide à la décision. La mise en œuvre de ce dispositif de collecte et d'analyse des données essentielles et d'indicateurs clefs permettra de suivre les évolutions du phénomène dans toutes ses composantes - l'offre de jeux, les pratiques de jeux, les dommages liés au jeu et les réponses apportées par les dispositifs de prévention et de soins. </w:t>
      </w:r>
    </w:p>
    <w:p w:rsidR="00543694" w:rsidRDefault="00543694" w:rsidP="00543694">
      <w:pPr>
        <w:pStyle w:val="Titre4"/>
      </w:pPr>
      <w:r>
        <w:t>Animation et coordination des Enquêtes sur le jeu</w:t>
      </w:r>
    </w:p>
    <w:p w:rsidR="00543694" w:rsidRDefault="00543694" w:rsidP="00A45531">
      <w:pPr>
        <w:jc w:val="both"/>
      </w:pPr>
      <w:r>
        <w:t xml:space="preserve">Le suivi statistique et épidémiologique du phénomène des jeux était en 2010 très lacunaire en France. Le rôle de l’ODJ est de combler cette lacune en développant un ensemble cohérent d’enquêtes populationnelles régulières sur les joueurs et leurs pratiques. </w:t>
      </w:r>
      <w:r w:rsidR="00B30AEC">
        <w:t xml:space="preserve">Il doit le faire en partenariat avec les organismes légitimes dans le domaine de la mise en place d’enquêtes de type auprès de la population générale. Ceci peut passer par la mise en place de </w:t>
      </w:r>
      <w:r>
        <w:t>groupe</w:t>
      </w:r>
      <w:r w:rsidR="00B30AEC">
        <w:t>s</w:t>
      </w:r>
      <w:r>
        <w:t xml:space="preserve"> de travail, lieu</w:t>
      </w:r>
      <w:r w:rsidR="00B11733">
        <w:t>x</w:t>
      </w:r>
      <w:r>
        <w:t xml:space="preserve"> d’échanges et de coordination, réunissant les institutions ayant l’observation de cette thématique </w:t>
      </w:r>
      <w:r w:rsidR="00B30AEC">
        <w:t xml:space="preserve">incluse </w:t>
      </w:r>
      <w:r>
        <w:t xml:space="preserve">dans </w:t>
      </w:r>
      <w:r w:rsidR="00B30AEC">
        <w:t>leur mission respective</w:t>
      </w:r>
      <w:r>
        <w:t>.</w:t>
      </w:r>
    </w:p>
    <w:p w:rsidR="00543694" w:rsidRDefault="00543694" w:rsidP="00B30AEC">
      <w:pPr>
        <w:pStyle w:val="Titre4"/>
      </w:pPr>
      <w:r>
        <w:t>Appel d’offres de recherche</w:t>
      </w:r>
    </w:p>
    <w:p w:rsidR="00543694" w:rsidRPr="00375B85" w:rsidRDefault="00543694" w:rsidP="00A45531">
      <w:pPr>
        <w:jc w:val="both"/>
      </w:pPr>
      <w:r w:rsidRPr="00375B85">
        <w:t xml:space="preserve">Comme le montrent les expériences d’autres observatoires, la frontière entre observation et recherche est ténue. Sans vouloir se disperser et en respectant une vision pragmatique centrant une mission d’observation sur le monitorage d’indicateurs et la réalisation d’études orientées vers l’aide à la décision, il y a du sens à étendre </w:t>
      </w:r>
      <w:r w:rsidR="00B11733">
        <w:t xml:space="preserve">cette mission </w:t>
      </w:r>
      <w:r w:rsidRPr="00375B85">
        <w:t xml:space="preserve">à un certain rôle dans l’animation de la recherche sur les jeux, ou du moins </w:t>
      </w:r>
      <w:r w:rsidR="00B11733">
        <w:t>à la</w:t>
      </w:r>
      <w:r w:rsidRPr="00375B85">
        <w:t xml:space="preserve"> partie de cette recherche la plus proche du cœur de métier d’un observatoire, la recherche en sciences humaines et sociales et la recherche clinique. Ceci se fera en s’appuyant sur les organismes légitimes pour gérer ces questions et leurs procédures existantes et dans une perspective internationale afin d</w:t>
      </w:r>
      <w:r w:rsidR="00B11733">
        <w:t>’</w:t>
      </w:r>
      <w:r w:rsidRPr="00375B85">
        <w:t>être</w:t>
      </w:r>
      <w:r w:rsidR="00B11733">
        <w:t xml:space="preserve"> plus</w:t>
      </w:r>
      <w:r w:rsidRPr="00375B85">
        <w:t xml:space="preserve"> efficace dans un domaine o</w:t>
      </w:r>
      <w:r w:rsidR="00B11733">
        <w:t>ù</w:t>
      </w:r>
      <w:r w:rsidRPr="00375B85">
        <w:t xml:space="preserve"> les ressources humaines sont rares et les questions méthodologiques encore peu stabilisées.</w:t>
      </w:r>
    </w:p>
    <w:p w:rsidR="00543694" w:rsidRPr="00375B85" w:rsidRDefault="00543694" w:rsidP="00375B85">
      <w:pPr>
        <w:pStyle w:val="Titre4"/>
      </w:pPr>
      <w:r w:rsidRPr="00375B85">
        <w:t xml:space="preserve">Etude coût/bénéfice </w:t>
      </w:r>
    </w:p>
    <w:p w:rsidR="00543694" w:rsidRPr="00375B85" w:rsidRDefault="00543694" w:rsidP="00A45531">
      <w:pPr>
        <w:jc w:val="both"/>
      </w:pPr>
      <w:r w:rsidRPr="007667B3">
        <w:lastRenderedPageBreak/>
        <w:t>L’évaluation des conséquences économiques et sociales des pratiques ludiques est une attente forte des décideurs en vue d’adapter les politiques publiques en ce domaine. Au centre du débat est la question du bilan</w:t>
      </w:r>
      <w:r w:rsidRPr="00375B85">
        <w:t xml:space="preserve"> entre les coûts et les bénéfices que cette pratique génère pour l’ensemble de la collectivité. L’étude de l’impact du jeu de hasard et d’argent sur le bien-être collectif est donc une des priorités de l’ODJ. Elle sera le cadre conceptuel structurant la définition de son programme d’études.</w:t>
      </w:r>
    </w:p>
    <w:p w:rsidR="00543694" w:rsidRPr="00375B85" w:rsidRDefault="00543694" w:rsidP="00A45531">
      <w:pPr>
        <w:jc w:val="both"/>
      </w:pPr>
      <w:r w:rsidRPr="00375B85">
        <w:t>Cette étude sera menée à l’aide d’une analyse de type « Coût-Bénéfice » ; l’estimation du coût social en est une première étape indispensable. L’ODJ procédera à un appel à projets auprès des équipes de recherche en science économique afin de réaliser une telle étude en deux étapes. Le projet retenu aura comme premier objectif de produire une première évaluation du « coût/bénéfice » sur les</w:t>
      </w:r>
      <w:r w:rsidR="00E15E92">
        <w:t xml:space="preserve"> jeux de hasard et d’argent</w:t>
      </w:r>
      <w:r w:rsidRPr="00375B85">
        <w:t xml:space="preserve"> </w:t>
      </w:r>
      <w:r w:rsidR="00E15E92">
        <w:t>(</w:t>
      </w:r>
      <w:r w:rsidRPr="00375B85">
        <w:t>JHA</w:t>
      </w:r>
      <w:r w:rsidR="00E15E92">
        <w:t>)</w:t>
      </w:r>
      <w:r w:rsidRPr="00375B85">
        <w:t xml:space="preserve"> en France sur la base des données actuellement disponibles.</w:t>
      </w:r>
    </w:p>
    <w:p w:rsidR="00543694" w:rsidRPr="00375B85" w:rsidRDefault="00543694" w:rsidP="00A45531">
      <w:pPr>
        <w:jc w:val="both"/>
      </w:pPr>
      <w:r w:rsidRPr="00375B85">
        <w:t xml:space="preserve">Les données nécessaires à l’application d’une telle étude économique étant assez lacunaires en France, le projet retenu aura comme second objectif de formuler des propositions en vue de les améliorer. Ces propositions permettront à l’ODJ de mieux définir </w:t>
      </w:r>
      <w:r w:rsidR="00E15E92">
        <w:t>s</w:t>
      </w:r>
      <w:r w:rsidRPr="00375B85">
        <w:t xml:space="preserve">es priorités de travail à moyen terme, notamment le programme d’études qu’il compte mettre en place. Par exemple, il semble d’ores et déjà opportun d’approfondir </w:t>
      </w:r>
      <w:r w:rsidR="00E15E92">
        <w:t>la</w:t>
      </w:r>
      <w:r w:rsidRPr="00375B85">
        <w:t xml:space="preserve"> connaissance sur le phénomène du surendettement qui occupe une place centrale dans les dommages liés au jeu.</w:t>
      </w:r>
    </w:p>
    <w:p w:rsidR="00543694" w:rsidRPr="005643F9" w:rsidRDefault="00375B85" w:rsidP="005643F9">
      <w:pPr>
        <w:pStyle w:val="Titre4"/>
      </w:pPr>
      <w:r w:rsidRPr="005643F9">
        <w:t>Expertise</w:t>
      </w:r>
    </w:p>
    <w:p w:rsidR="00BE1B48" w:rsidRPr="00412B89" w:rsidRDefault="00543694" w:rsidP="00A45531">
      <w:pPr>
        <w:jc w:val="both"/>
      </w:pPr>
      <w:r w:rsidRPr="005643F9">
        <w:t>En plus de ce cadre structurant d’action, l’ODJ pourra procéder à certaines investigations sur des thématiques particulières</w:t>
      </w:r>
      <w:r w:rsidR="005643F9" w:rsidRPr="005643F9">
        <w:t xml:space="preserve"> à la demande des autorités ou commissions consultatives de régulation des jeux d’argent, ou des profes</w:t>
      </w:r>
      <w:r w:rsidR="001958F2">
        <w:t>sionnels oeu</w:t>
      </w:r>
      <w:r w:rsidR="005643F9" w:rsidRPr="005643F9">
        <w:t>vrant dans le domaine de la réduction des dommages de ceux-ci.</w:t>
      </w:r>
    </w:p>
    <w:p w:rsidR="006100F0" w:rsidRDefault="00412B89" w:rsidP="00412B89">
      <w:pPr>
        <w:pStyle w:val="Titre1"/>
      </w:pPr>
      <w:bookmarkStart w:id="11" w:name="_Toc317963403"/>
      <w:r>
        <w:t>Activités</w:t>
      </w:r>
      <w:bookmarkEnd w:id="11"/>
    </w:p>
    <w:p w:rsidR="00404C7E" w:rsidRDefault="00404C7E" w:rsidP="00412B89">
      <w:pPr>
        <w:pStyle w:val="Titre2"/>
      </w:pPr>
      <w:bookmarkStart w:id="12" w:name="_Toc317963404"/>
      <w:r>
        <w:t>Monitorage</w:t>
      </w:r>
      <w:bookmarkEnd w:id="12"/>
    </w:p>
    <w:p w:rsidR="006516FE" w:rsidRPr="00AE74DA" w:rsidRDefault="006516FE" w:rsidP="006516FE">
      <w:pPr>
        <w:pStyle w:val="Titre3"/>
      </w:pPr>
      <w:bookmarkStart w:id="13" w:name="_Toc317963405"/>
      <w:r>
        <w:t>Le</w:t>
      </w:r>
      <w:r w:rsidRPr="00AE74DA">
        <w:t xml:space="preserve"> modèle logique</w:t>
      </w:r>
      <w:bookmarkEnd w:id="13"/>
    </w:p>
    <w:tbl>
      <w:tblPr>
        <w:tblW w:w="9639" w:type="dxa"/>
        <w:tblInd w:w="70" w:type="dxa"/>
        <w:tblLayout w:type="fixed"/>
        <w:tblCellMar>
          <w:left w:w="70" w:type="dxa"/>
          <w:right w:w="70" w:type="dxa"/>
        </w:tblCellMar>
        <w:tblLook w:val="04A0" w:firstRow="1" w:lastRow="0" w:firstColumn="1" w:lastColumn="0" w:noHBand="0" w:noVBand="1"/>
      </w:tblPr>
      <w:tblGrid>
        <w:gridCol w:w="9639"/>
      </w:tblGrid>
      <w:tr w:rsidR="006516FE" w:rsidRPr="005643F9" w:rsidTr="006516FE">
        <w:trPr>
          <w:trHeight w:val="240"/>
        </w:trPr>
        <w:tc>
          <w:tcPr>
            <w:tcW w:w="9639" w:type="dxa"/>
            <w:tcBorders>
              <w:top w:val="nil"/>
              <w:left w:val="nil"/>
              <w:bottom w:val="nil"/>
              <w:right w:val="nil"/>
            </w:tcBorders>
            <w:shd w:val="clear" w:color="auto" w:fill="auto"/>
            <w:noWrap/>
            <w:vAlign w:val="bottom"/>
            <w:hideMark/>
          </w:tcPr>
          <w:p w:rsidR="006516FE" w:rsidRPr="00B50012" w:rsidRDefault="006516FE" w:rsidP="00A45531">
            <w:pPr>
              <w:jc w:val="both"/>
            </w:pPr>
            <w:r w:rsidRPr="00B50012">
              <w:t>Cette problématique</w:t>
            </w:r>
            <w:r>
              <w:t xml:space="preserve"> a été établie en lien avec </w:t>
            </w:r>
            <w:r w:rsidRPr="00B50012">
              <w:t>nos partenaires du Québec dans le cadre de leur groupe de travail sur le jeu en ligne. Plusieurs rencontres ont permis de travailler sur un modèle de monitorage spécifique à chaque contexte national.</w:t>
            </w:r>
          </w:p>
          <w:p w:rsidR="006516FE" w:rsidRPr="00B50012" w:rsidRDefault="006516FE" w:rsidP="00A45531">
            <w:pPr>
              <w:jc w:val="both"/>
            </w:pPr>
            <w:r w:rsidRPr="00B50012">
              <w:t>Le monitorage peut être décrit comme un processus continu de collecte, d’analyse et d’interprétation systématique d'informations, selon des indicateurs choisis, pour fournir aux acteurs du champ des jeux d’argent, des renseignements permettant de suivre l’évolution des JAH et d’apprécier les impacts des réponses apportées pour en réduire les dommages.</w:t>
            </w:r>
          </w:p>
          <w:p w:rsidR="006516FE" w:rsidRPr="00AE74DA" w:rsidRDefault="006516FE" w:rsidP="00A45531">
            <w:pPr>
              <w:jc w:val="both"/>
            </w:pPr>
            <w:r w:rsidRPr="00AE74DA">
              <w:t xml:space="preserve">Le modèle logique retenu </w:t>
            </w:r>
            <w:r>
              <w:t xml:space="preserve">(voir en annexe) </w:t>
            </w:r>
            <w:r w:rsidRPr="00AE74DA">
              <w:t>vise à formaliser les liens de causalité qui sont sous-jacents aux objectifs des lois et textes réglementaires sur le jeu d’argent. Le modèle permet :</w:t>
            </w:r>
          </w:p>
          <w:p w:rsidR="006516FE" w:rsidRPr="00AE74DA" w:rsidRDefault="006516FE" w:rsidP="00A45531">
            <w:pPr>
              <w:pStyle w:val="Listepuces"/>
              <w:numPr>
                <w:ilvl w:val="0"/>
                <w:numId w:val="0"/>
              </w:numPr>
              <w:ind w:left="357"/>
              <w:jc w:val="both"/>
            </w:pPr>
            <w:r w:rsidRPr="00AE74DA">
              <w:t>1) de représenter les liens entre les ressources, les activités, les résultats et les effets conséquents</w:t>
            </w:r>
            <w:r w:rsidR="00E15E92">
              <w:t> ;</w:t>
            </w:r>
            <w:r w:rsidRPr="00AE74DA">
              <w:t xml:space="preserve"> </w:t>
            </w:r>
          </w:p>
          <w:p w:rsidR="006516FE" w:rsidRPr="006516FE" w:rsidRDefault="006516FE" w:rsidP="00A45531">
            <w:pPr>
              <w:pStyle w:val="Listepuces"/>
              <w:numPr>
                <w:ilvl w:val="0"/>
                <w:numId w:val="0"/>
              </w:numPr>
              <w:ind w:left="357"/>
              <w:jc w:val="both"/>
            </w:pPr>
            <w:r w:rsidRPr="00AE74DA">
              <w:t xml:space="preserve">2) d’identifier les indicateurs qui permettent de mesurer le degré d’atteinte. </w:t>
            </w:r>
          </w:p>
        </w:tc>
      </w:tr>
    </w:tbl>
    <w:p w:rsidR="00EF5FB3" w:rsidRPr="00AE74DA" w:rsidRDefault="00EF5FB3" w:rsidP="00A45531">
      <w:pPr>
        <w:pStyle w:val="Titre3"/>
        <w:jc w:val="both"/>
      </w:pPr>
      <w:bookmarkStart w:id="14" w:name="_Toc317963406"/>
      <w:r w:rsidRPr="00AE74DA">
        <w:t>Le champ d’observation</w:t>
      </w:r>
      <w:bookmarkEnd w:id="14"/>
    </w:p>
    <w:p w:rsidR="00EF5FB3" w:rsidRPr="00AE74DA" w:rsidRDefault="00EF5FB3" w:rsidP="00A45531">
      <w:pPr>
        <w:jc w:val="both"/>
      </w:pPr>
      <w:r w:rsidRPr="00AE74DA">
        <w:t xml:space="preserve">Par définition, les JHA sont des jeux avec un enjeu financier (mise, gain/perte), incluant un sacrifice financier avec une espérance de gain, et où le hasard a une place plus ou moins importante : </w:t>
      </w:r>
    </w:p>
    <w:p w:rsidR="00EF5FB3" w:rsidRPr="00AE74DA" w:rsidRDefault="00EF5FB3" w:rsidP="00A45531">
      <w:pPr>
        <w:pStyle w:val="Listepuces"/>
        <w:jc w:val="both"/>
      </w:pPr>
      <w:r w:rsidRPr="00AE74DA">
        <w:t xml:space="preserve">jeux de hasard pur : loterie (tirage, grattage), jeux de casino (roulette …), machines à sous </w:t>
      </w:r>
    </w:p>
    <w:p w:rsidR="00EF5FB3" w:rsidRPr="00AE74DA" w:rsidRDefault="00EF5FB3" w:rsidP="00A45531">
      <w:pPr>
        <w:pStyle w:val="Listepuces"/>
        <w:jc w:val="both"/>
      </w:pPr>
      <w:r w:rsidRPr="00AE74DA">
        <w:lastRenderedPageBreak/>
        <w:t>jeux de hasard raisonné : paris hippiques ou sportifs, jeu se pratiquant avec des cartes (poker …) ou avec des dés (backgammon…).</w:t>
      </w:r>
    </w:p>
    <w:p w:rsidR="006516FE" w:rsidRPr="00AE74DA" w:rsidRDefault="006516FE" w:rsidP="00A45531">
      <w:pPr>
        <w:jc w:val="both"/>
      </w:pPr>
      <w:r w:rsidRPr="00AE74DA">
        <w:t xml:space="preserve">Le monitorage est fondé exclusivement sur les bases de données probantes. Les données proviendront de quatre sources principales : </w:t>
      </w:r>
    </w:p>
    <w:p w:rsidR="006516FE" w:rsidRPr="00AE74DA" w:rsidRDefault="006516FE" w:rsidP="00A45531">
      <w:pPr>
        <w:pStyle w:val="Listepuces"/>
        <w:numPr>
          <w:ilvl w:val="0"/>
          <w:numId w:val="0"/>
        </w:numPr>
        <w:ind w:left="357"/>
        <w:jc w:val="both"/>
      </w:pPr>
      <w:r w:rsidRPr="00AE74DA">
        <w:t xml:space="preserve">1) les données épidémiologiques disponibles à partir des enquêtes populationnelles, </w:t>
      </w:r>
    </w:p>
    <w:p w:rsidR="006516FE" w:rsidRPr="00AE74DA" w:rsidRDefault="006516FE" w:rsidP="00A45531">
      <w:pPr>
        <w:pStyle w:val="Listepuces"/>
        <w:numPr>
          <w:ilvl w:val="0"/>
          <w:numId w:val="0"/>
        </w:numPr>
        <w:ind w:left="357"/>
        <w:jc w:val="both"/>
      </w:pPr>
      <w:r w:rsidRPr="00AE74DA">
        <w:t xml:space="preserve">2) les données administratives détenues par les instances gouvernementales et les opérateurs de jeu, </w:t>
      </w:r>
    </w:p>
    <w:p w:rsidR="006516FE" w:rsidRPr="00AE74DA" w:rsidRDefault="006516FE" w:rsidP="00A45531">
      <w:pPr>
        <w:pStyle w:val="Listepuces"/>
        <w:numPr>
          <w:ilvl w:val="0"/>
          <w:numId w:val="0"/>
        </w:numPr>
        <w:ind w:left="357"/>
        <w:jc w:val="both"/>
      </w:pPr>
      <w:r w:rsidRPr="00AE74DA">
        <w:t xml:space="preserve">3) les données réglementaires et juridiques relatives à l’encadrement du jeu, </w:t>
      </w:r>
    </w:p>
    <w:p w:rsidR="006516FE" w:rsidRDefault="006516FE" w:rsidP="00A45531">
      <w:pPr>
        <w:pStyle w:val="Listepuces"/>
        <w:numPr>
          <w:ilvl w:val="0"/>
          <w:numId w:val="0"/>
        </w:numPr>
        <w:ind w:left="357"/>
        <w:jc w:val="both"/>
      </w:pPr>
      <w:r w:rsidRPr="00AE74DA">
        <w:t>4) les données de recherches spécifiques.</w:t>
      </w:r>
    </w:p>
    <w:p w:rsidR="00EF5FB3" w:rsidRPr="006516FE" w:rsidRDefault="00EF5FB3" w:rsidP="006516FE">
      <w:pPr>
        <w:pStyle w:val="Titre4"/>
      </w:pPr>
      <w:r w:rsidRPr="006516FE">
        <w:t>Offre de jeux</w:t>
      </w:r>
    </w:p>
    <w:p w:rsidR="00EF5FB3" w:rsidRPr="006516FE" w:rsidRDefault="00EF5FB3" w:rsidP="00EF5FB3">
      <w:r w:rsidRPr="006516FE">
        <w:t>Questions</w:t>
      </w:r>
    </w:p>
    <w:p w:rsidR="00EF5FB3" w:rsidRPr="006516FE" w:rsidRDefault="00EF5FB3" w:rsidP="006516FE">
      <w:pPr>
        <w:pStyle w:val="Listepuces"/>
      </w:pPr>
      <w:r w:rsidRPr="006516FE">
        <w:t>Quelle est la nature de l’offre de jeux en France ?</w:t>
      </w:r>
    </w:p>
    <w:p w:rsidR="00EF5FB3" w:rsidRPr="006516FE" w:rsidRDefault="00EF5FB3" w:rsidP="006516FE">
      <w:pPr>
        <w:pStyle w:val="Listepuces"/>
      </w:pPr>
      <w:r w:rsidRPr="006516FE">
        <w:t>Et son accessibilité (conditions d’accès dans le temps et l’espace</w:t>
      </w:r>
      <w:r w:rsidR="00EE4AD1">
        <w:t>)</w:t>
      </w:r>
      <w:r w:rsidRPr="006516FE">
        <w:t xml:space="preserve"> ?</w:t>
      </w:r>
    </w:p>
    <w:p w:rsidR="00EF5FB3" w:rsidRPr="006516FE" w:rsidRDefault="00EF5FB3" w:rsidP="006516FE">
      <w:pPr>
        <w:pStyle w:val="Listepuces"/>
      </w:pPr>
      <w:r w:rsidRPr="006516FE">
        <w:t>Comment se situe-t-elle par rapport aux autres pays européens ?</w:t>
      </w:r>
    </w:p>
    <w:p w:rsidR="00EF5FB3" w:rsidRPr="006516FE" w:rsidRDefault="00EF5FB3" w:rsidP="00EF5FB3">
      <w:r w:rsidRPr="006516FE">
        <w:t>Indicateurs</w:t>
      </w:r>
    </w:p>
    <w:p w:rsidR="00EF5FB3" w:rsidRPr="006516FE" w:rsidRDefault="00EF5FB3" w:rsidP="006516FE">
      <w:pPr>
        <w:pStyle w:val="Listepuces"/>
      </w:pPr>
      <w:r w:rsidRPr="006516FE">
        <w:t>Nb opérateurs, nombre et type de services</w:t>
      </w:r>
    </w:p>
    <w:p w:rsidR="00EF5FB3" w:rsidRPr="006516FE" w:rsidRDefault="00EF5FB3" w:rsidP="006516FE">
      <w:pPr>
        <w:pStyle w:val="Listepuces"/>
      </w:pPr>
      <w:r w:rsidRPr="006516FE">
        <w:t>Cartographie de l’offre</w:t>
      </w:r>
    </w:p>
    <w:p w:rsidR="00EF5FB3" w:rsidRPr="006516FE" w:rsidRDefault="00EF5FB3" w:rsidP="006516FE">
      <w:pPr>
        <w:pStyle w:val="Titre4"/>
      </w:pPr>
      <w:r w:rsidRPr="006516FE">
        <w:t>Pratiques de jeu</w:t>
      </w:r>
    </w:p>
    <w:p w:rsidR="00EF5FB3" w:rsidRPr="006516FE" w:rsidRDefault="00EF5FB3" w:rsidP="00EF5FB3">
      <w:r w:rsidRPr="006516FE">
        <w:t>Questions</w:t>
      </w:r>
    </w:p>
    <w:p w:rsidR="00EF5FB3" w:rsidRPr="006516FE" w:rsidRDefault="00EF5FB3" w:rsidP="006516FE">
      <w:pPr>
        <w:pStyle w:val="Listepuces"/>
      </w:pPr>
      <w:r w:rsidRPr="006516FE">
        <w:t>Quelles sont la fréquence et l’intensité des pratiques de jeu en France ?</w:t>
      </w:r>
    </w:p>
    <w:p w:rsidR="00EF5FB3" w:rsidRPr="006516FE" w:rsidRDefault="00EF5FB3" w:rsidP="006516FE">
      <w:pPr>
        <w:pStyle w:val="Listepuces"/>
      </w:pPr>
      <w:r w:rsidRPr="006516FE">
        <w:t>Quels publics sont concernés ?</w:t>
      </w:r>
    </w:p>
    <w:p w:rsidR="00EF5FB3" w:rsidRPr="006516FE" w:rsidRDefault="00EF5FB3" w:rsidP="006516FE">
      <w:pPr>
        <w:pStyle w:val="Listepuces"/>
      </w:pPr>
      <w:r w:rsidRPr="006516FE">
        <w:t>Quelles sont les représentations (opinions, perceptions) des joueurs et des non joueurs sur le jeu ?</w:t>
      </w:r>
    </w:p>
    <w:p w:rsidR="00EF5FB3" w:rsidRPr="006516FE" w:rsidRDefault="00EF5FB3" w:rsidP="006516FE">
      <w:pPr>
        <w:pStyle w:val="Listepuces"/>
      </w:pPr>
      <w:r w:rsidRPr="006516FE">
        <w:t xml:space="preserve">Quelles dépenses et quels profits le jeu génère-t-il ? </w:t>
      </w:r>
    </w:p>
    <w:p w:rsidR="00EF5FB3" w:rsidRPr="006516FE" w:rsidRDefault="00EF5FB3" w:rsidP="00EF5FB3">
      <w:r w:rsidRPr="006516FE">
        <w:t>Indicateurs</w:t>
      </w:r>
    </w:p>
    <w:p w:rsidR="00EF5FB3" w:rsidRPr="006516FE" w:rsidRDefault="00EF5FB3" w:rsidP="006516FE">
      <w:pPr>
        <w:pStyle w:val="Listepuces"/>
      </w:pPr>
      <w:r w:rsidRPr="006516FE">
        <w:t>Prévalence du jeu en population générale</w:t>
      </w:r>
    </w:p>
    <w:p w:rsidR="00EF5FB3" w:rsidRPr="006516FE" w:rsidRDefault="00EF5FB3" w:rsidP="006516FE">
      <w:pPr>
        <w:pStyle w:val="Listepuces"/>
      </w:pPr>
      <w:r w:rsidRPr="006516FE">
        <w:t>Baromètre d’opinion sur le jeu</w:t>
      </w:r>
    </w:p>
    <w:p w:rsidR="00EF5FB3" w:rsidRPr="006516FE" w:rsidRDefault="006516FE" w:rsidP="006516FE">
      <w:pPr>
        <w:pStyle w:val="Listepuces"/>
      </w:pPr>
      <w:r>
        <w:t>D</w:t>
      </w:r>
      <w:r w:rsidR="00EF5FB3" w:rsidRPr="006516FE">
        <w:t>épenses des joueurs</w:t>
      </w:r>
    </w:p>
    <w:p w:rsidR="00EF5FB3" w:rsidRPr="006516FE" w:rsidRDefault="00EF5FB3" w:rsidP="006516FE">
      <w:pPr>
        <w:pStyle w:val="Listepuces"/>
      </w:pPr>
      <w:r w:rsidRPr="006516FE">
        <w:t>C</w:t>
      </w:r>
      <w:r w:rsidR="00EE4AD1">
        <w:t>hiffre d’affaires</w:t>
      </w:r>
      <w:r w:rsidRPr="006516FE">
        <w:t xml:space="preserve"> des opérateurs</w:t>
      </w:r>
    </w:p>
    <w:p w:rsidR="00EF5FB3" w:rsidRPr="006516FE" w:rsidRDefault="00EF5FB3" w:rsidP="006516FE">
      <w:pPr>
        <w:pStyle w:val="Listepuces"/>
      </w:pPr>
      <w:r w:rsidRPr="006516FE">
        <w:t>Taxes de l’Etat</w:t>
      </w:r>
    </w:p>
    <w:p w:rsidR="00EF5FB3" w:rsidRPr="006516FE" w:rsidRDefault="00EF5FB3" w:rsidP="006516FE">
      <w:pPr>
        <w:pStyle w:val="Titre4"/>
      </w:pPr>
      <w:r w:rsidRPr="006516FE">
        <w:t>Dommages liés au jeu</w:t>
      </w:r>
    </w:p>
    <w:p w:rsidR="00EF5FB3" w:rsidRPr="006516FE" w:rsidRDefault="00EF5FB3" w:rsidP="00EF5FB3">
      <w:r w:rsidRPr="006516FE">
        <w:t>Questions</w:t>
      </w:r>
    </w:p>
    <w:p w:rsidR="00EF5FB3" w:rsidRPr="006516FE" w:rsidRDefault="00EF5FB3" w:rsidP="006516FE">
      <w:pPr>
        <w:pStyle w:val="Listepuces"/>
      </w:pPr>
      <w:r w:rsidRPr="006516FE">
        <w:t>Quelle est la part des joueurs en difficulté avec leurs pratiques de jeu ?</w:t>
      </w:r>
    </w:p>
    <w:p w:rsidR="00EF5FB3" w:rsidRPr="006516FE" w:rsidRDefault="00EF5FB3" w:rsidP="006516FE">
      <w:pPr>
        <w:pStyle w:val="Listepuces"/>
      </w:pPr>
      <w:r w:rsidRPr="006516FE">
        <w:t>Qui sont les joueurs problématiques ?</w:t>
      </w:r>
    </w:p>
    <w:p w:rsidR="00EF5FB3" w:rsidRPr="006516FE" w:rsidRDefault="00EF5FB3" w:rsidP="006516FE">
      <w:pPr>
        <w:pStyle w:val="Listepuces"/>
      </w:pPr>
      <w:r w:rsidRPr="006516FE">
        <w:t>Quels sont les facteurs liés au jeu problématique ?</w:t>
      </w:r>
    </w:p>
    <w:p w:rsidR="00EF5FB3" w:rsidRPr="006516FE" w:rsidRDefault="00EF5FB3" w:rsidP="006516FE">
      <w:pPr>
        <w:pStyle w:val="Listepuces"/>
      </w:pPr>
      <w:r w:rsidRPr="006516FE">
        <w:t>Combien coûte le jeu problématique à la société ?</w:t>
      </w:r>
    </w:p>
    <w:p w:rsidR="00EF5FB3" w:rsidRPr="006516FE" w:rsidRDefault="00EF5FB3" w:rsidP="00EF5FB3">
      <w:r w:rsidRPr="006516FE">
        <w:t>Indicateurs</w:t>
      </w:r>
    </w:p>
    <w:p w:rsidR="00EF5FB3" w:rsidRPr="006516FE" w:rsidRDefault="00EF5FB3" w:rsidP="006516FE">
      <w:pPr>
        <w:pStyle w:val="Listepuces"/>
      </w:pPr>
      <w:r w:rsidRPr="006516FE">
        <w:t>Prévalence du jeu problématique en population générale (JP)</w:t>
      </w:r>
    </w:p>
    <w:p w:rsidR="00EF5FB3" w:rsidRPr="006516FE" w:rsidRDefault="00EF5FB3" w:rsidP="006516FE">
      <w:pPr>
        <w:pStyle w:val="Listepuces"/>
      </w:pPr>
      <w:r w:rsidRPr="006516FE">
        <w:t xml:space="preserve">Caractéristiques des joueurs vus </w:t>
      </w:r>
      <w:r w:rsidR="001E6A86">
        <w:t>ayant saisi un</w:t>
      </w:r>
      <w:r w:rsidRPr="006516FE">
        <w:t xml:space="preserve"> service d’écoute téléphonique</w:t>
      </w:r>
    </w:p>
    <w:p w:rsidR="00EF5FB3" w:rsidRPr="006516FE" w:rsidRDefault="00EF5FB3" w:rsidP="006516FE">
      <w:pPr>
        <w:pStyle w:val="Listepuces"/>
      </w:pPr>
      <w:r w:rsidRPr="006516FE">
        <w:t>Caractéristiques des joueurs en traitement</w:t>
      </w:r>
    </w:p>
    <w:p w:rsidR="00EF5FB3" w:rsidRPr="006516FE" w:rsidRDefault="00EF5FB3" w:rsidP="006516FE">
      <w:pPr>
        <w:pStyle w:val="Listepuces"/>
      </w:pPr>
      <w:r w:rsidRPr="006516FE">
        <w:t>Coûts/Bénéfices, Coût social du jeu</w:t>
      </w:r>
    </w:p>
    <w:p w:rsidR="00F41F54" w:rsidRDefault="00533772" w:rsidP="00F41F54">
      <w:pPr>
        <w:pStyle w:val="Titre2"/>
      </w:pPr>
      <w:bookmarkStart w:id="15" w:name="_Toc317963407"/>
      <w:r>
        <w:t>Etudes et enquêtes</w:t>
      </w:r>
      <w:bookmarkEnd w:id="15"/>
    </w:p>
    <w:p w:rsidR="00F41F54" w:rsidRDefault="00F41F54" w:rsidP="00F41F54">
      <w:pPr>
        <w:pStyle w:val="Titre3"/>
      </w:pPr>
      <w:bookmarkStart w:id="16" w:name="_Toc317963408"/>
      <w:r>
        <w:lastRenderedPageBreak/>
        <w:t>E-ENJEU 2012</w:t>
      </w:r>
      <w:r w:rsidR="00533772">
        <w:t xml:space="preserve"> (ODJ/OFDT)</w:t>
      </w:r>
      <w:bookmarkEnd w:id="16"/>
    </w:p>
    <w:p w:rsidR="00F41F54" w:rsidRDefault="00635A25" w:rsidP="00F41F54">
      <w:pPr>
        <w:pStyle w:val="Titre4"/>
      </w:pPr>
      <w:r>
        <w:t>Contexte</w:t>
      </w:r>
    </w:p>
    <w:p w:rsidR="00F41F54" w:rsidRDefault="00F41F54" w:rsidP="00A45531">
      <w:pPr>
        <w:jc w:val="both"/>
      </w:pPr>
      <w:r>
        <w:t>En 2010, un nouveau module du Baromètre santé de l’Institut national de prévention et d’éducation pour la santé (INPES), traité conjointement avec l’Observatoire français des drogues et des toxicomanies (OFDT), a permis d’estimer, pour la première fois, le nombre de joueurs à des jeux d’argent et de hasard (JAH) dans la population française.</w:t>
      </w:r>
    </w:p>
    <w:p w:rsidR="00F41F54" w:rsidRDefault="00F41F54" w:rsidP="00A45531">
      <w:pPr>
        <w:jc w:val="both"/>
      </w:pPr>
      <w:r>
        <w:t>Ce travail est intervenu alors que les jeux d’argent et de hasard en ligne étaient encore illégaux. Il était donc nécessaire de procéder à un examen de la situation du jeu sur Internet après l’entrée en vigueur de la loi du 12 mai 2010, laquelle a ouvert à la concurrence trois domaines : les paris sportifs, les paris hippiques et le poker. Une nouvelle autorité, l’Autorité de régulation des jeux en ligne (ARJEL), attribue, depuis, les agréments aux opérateurs et contrôle leur activité.</w:t>
      </w:r>
    </w:p>
    <w:p w:rsidR="00F41F54" w:rsidRDefault="00F41F54" w:rsidP="00A45531">
      <w:pPr>
        <w:jc w:val="both"/>
      </w:pPr>
      <w:r>
        <w:t>Pour approcher le phénomène JAH chez les internautes, l’OFDT et l’Observatoire des jeux (ODJ) ont mené deux enquêtes conjointes à la fin de l’année 2012 : « e-JEU 2012 » et « e-ENJEU 2012 ». Celles–ci ont permis d’avoir une première quantification du phénomène du jeu en ligne (e-JEU 2012), et de dresser un premier portrait de ces joueurs et de leurs pratiques (e-ENJEU 2012).</w:t>
      </w:r>
    </w:p>
    <w:p w:rsidR="00F41F54" w:rsidRDefault="00635A25" w:rsidP="00F41F54">
      <w:pPr>
        <w:pStyle w:val="Titre4"/>
      </w:pPr>
      <w:r>
        <w:t>La realisation de l’enquete</w:t>
      </w:r>
    </w:p>
    <w:p w:rsidR="00F41F54" w:rsidRDefault="00F41F54" w:rsidP="00A45531">
      <w:pPr>
        <w:jc w:val="both"/>
      </w:pPr>
      <w:r>
        <w:t>La réalisation de ces deux études a été confiée à Médiamétrie. Une première enquête téléphonique de prévalence (Enquête Prévalence-e-JEU) a été réalisée dans le cadre de l’étude intitulée « Observatoire des usages Internet » de Médiamétrie. Deux questions destinées à mesurer la prévalence de JAH en ligne ont été posées pendant trois vagues d’enquête (entre septembre et novembre 2012) à 2 761 Français âgés de 18 ans et plus. Une seconde enquête, sur les pratiques de jeux et les profils de joueurs (Enquête e-ENJEU 2012)</w:t>
      </w:r>
      <w:r w:rsidR="001E6A86">
        <w:t>,</w:t>
      </w:r>
      <w:r>
        <w:t xml:space="preserve"> a été auto-administrée pendant quatre semaines, tous les jours de la semaine. Entre le 12 novembre et le 11 décembre 2012, 20 000 internautes âgés de 18 à 75 ans ont répondu sur leur pratique de jeux en ligne en utilisant le système d’interview par Internet assistée par ordinateur (CAWI).</w:t>
      </w:r>
    </w:p>
    <w:p w:rsidR="00F41F54" w:rsidRDefault="00F41F54" w:rsidP="00A45531">
      <w:pPr>
        <w:jc w:val="both"/>
      </w:pPr>
      <w:r>
        <w:t>Médiamétrie dispose d’une base d’adresses d’internautes appelée « Carré des médias » de 830 000 internautes dédiée essentiellement à ses études. Ces internautes sont recrutés selon différentes sources et méthodes : études téléphoniques, études en face à face et études sur Internet.</w:t>
      </w:r>
    </w:p>
    <w:p w:rsidR="00F41F54" w:rsidRDefault="00F41F54" w:rsidP="00A45531">
      <w:pPr>
        <w:jc w:val="both"/>
      </w:pPr>
      <w:r>
        <w:t>Le mode opératoire est l’envoi d’une invitation avec un message d’annonce de l’enquête à un échantillon d’internautes sélectionnés selon des quotas issus des résultats du dernier trimestre de l’Observatoire de l’usage Internet par sexe, âge, catégorie socioprofessionnelle et région. Le taux de réponses par rapport au nombre de mails reçus et ouverts s’élève à 40 % environ. Une relance est réalisée auprès des personnes n’ayant pas ouvert le courriel et ceux n’ayant pas cliqué sur le lien de réponse au questionnaire. Les procédures de contrôle de la qualité de la collecte ont permis d’écarter les questionnaires remplis trop vite, au hasard ou présentant trop d’incohérences. Au total, 4 236 internautes ont déclaré avoir joué à des jeux d’argent et de hasard sur Internet.</w:t>
      </w:r>
    </w:p>
    <w:p w:rsidR="00635A25" w:rsidRDefault="00635A25" w:rsidP="00635A25">
      <w:pPr>
        <w:pStyle w:val="Titre4"/>
      </w:pPr>
      <w:r>
        <w:t>Les principaux enseignements</w:t>
      </w:r>
    </w:p>
    <w:p w:rsidR="00F41F54" w:rsidRDefault="00F41F54" w:rsidP="00A45531">
      <w:pPr>
        <w:jc w:val="both"/>
      </w:pPr>
      <w:r>
        <w:t xml:space="preserve">3,7 % des personnes âgées de plus de 18 ans, soit environ 2 millions de personnes, déclarent avoir joué à un JAH en ligne au cours des 12 mois précédant l’enquête. </w:t>
      </w:r>
      <w:r w:rsidR="00B778A3">
        <w:t>Il s’agit de</w:t>
      </w:r>
      <w:r w:rsidR="00A80571">
        <w:t xml:space="preserve"> </w:t>
      </w:r>
      <w:r>
        <w:t>joueurs</w:t>
      </w:r>
      <w:r w:rsidR="00A80571">
        <w:t xml:space="preserve"> </w:t>
      </w:r>
      <w:r>
        <w:t>réguliers : 45 % des joueurs en ligne jouent au moins une fois par semaine contre 23 % pour l’ensemble des joueurs.</w:t>
      </w:r>
    </w:p>
    <w:p w:rsidR="00F41F54" w:rsidRDefault="00F41F54" w:rsidP="00A45531">
      <w:pPr>
        <w:jc w:val="both"/>
      </w:pPr>
      <w:r>
        <w:t xml:space="preserve">La pratique des JAH en ligne est, comme celle des jeux traditionnels, surtout le fait des hommes qui représentent 57 % des joueurs. Globalement, la part des jeunes générations </w:t>
      </w:r>
      <w:r w:rsidR="00B778A3">
        <w:t xml:space="preserve">y </w:t>
      </w:r>
      <w:r>
        <w:t xml:space="preserve">est plus importante: en </w:t>
      </w:r>
      <w:r>
        <w:lastRenderedPageBreak/>
        <w:t>comparant les résultats de e-ENJEU 2012 et ceux du module Baromètre santé INPES 2010, on constate que près de 4 joueurs en ligne sur 10 ont moins de 35 ans, contre un peu plus de 3 sur 10 pour le jeu traditionnel. Leur niveau d’étude est également plus élevé : plus de 5 joueurs en ligne sur 10 ont un niveau supérieur au baccalauréat (53 %) contre un peu moins de 4 sur 10 pour l’enquête de 2010 (38,7 %).</w:t>
      </w:r>
    </w:p>
    <w:p w:rsidR="00F41F54" w:rsidRDefault="00F41F54" w:rsidP="00A45531">
      <w:pPr>
        <w:jc w:val="both"/>
      </w:pPr>
      <w:r>
        <w:t>Plus de la moitié des joueurs en ligne (54,4 %) disent avoir recours uniquement à des sites légaux. Un peu plus du quart de ces joueurs (26,5 %) fréquentent des sites légaux et d’autres qui ne le sont pas ou qui</w:t>
      </w:r>
      <w:r w:rsidR="00A80571">
        <w:t xml:space="preserve"> </w:t>
      </w:r>
      <w:r>
        <w:t>se présentent comme étant hors du cadre de la loi. Près de 2 joueurs sur 10 (19,1 %) ne fréquentent que des sites non régulés.</w:t>
      </w:r>
    </w:p>
    <w:p w:rsidR="00F41F54" w:rsidRDefault="00F41F54" w:rsidP="00A45531">
      <w:pPr>
        <w:jc w:val="both"/>
      </w:pPr>
      <w:r>
        <w:t>L’outil de repérage alors utilisé (ICJE canadien) a été repris pour cette nouvelle enquête. La proportion de joueurs en ligne dans l’année à risque modéré est de 10,4 % et celle de joueurs excessifs de 6,6 %. Ces niveaux sont plus élevés pour les jeux non régulés.</w:t>
      </w:r>
    </w:p>
    <w:p w:rsidR="00F41F54" w:rsidRDefault="00F41F54" w:rsidP="00F41F54">
      <w:pPr>
        <w:pStyle w:val="Titre3"/>
      </w:pPr>
      <w:bookmarkStart w:id="17" w:name="_Toc317963409"/>
      <w:r>
        <w:t>ENJEU 2014</w:t>
      </w:r>
      <w:r w:rsidR="00533772">
        <w:t xml:space="preserve"> (ODJ/Inpes)</w:t>
      </w:r>
      <w:bookmarkEnd w:id="17"/>
    </w:p>
    <w:p w:rsidR="00635A25" w:rsidRDefault="00635A25" w:rsidP="00635A25">
      <w:pPr>
        <w:pStyle w:val="Titre4"/>
      </w:pPr>
      <w:r>
        <w:t>Contexte</w:t>
      </w:r>
    </w:p>
    <w:p w:rsidR="00F41F54" w:rsidRDefault="00F41F54" w:rsidP="00A45531">
      <w:pPr>
        <w:jc w:val="both"/>
      </w:pPr>
      <w:r>
        <w:t>L’enquête ENJEU 2014 est la seconde enquête nationale sur les pratiques de jeu d’argent et de hasard. Elle se place dans le cadre du dernier exercice de la série d’enquêtes appelées Baromètres santé, qui abordent les différents comportements et attitudes de santé des Français, que l’Institut national de prévention et d’éducation pour la Santé (Inpes) mène, en partenariat avec de nombreux acteurs de santé. Le module jeu de cette enquête a été coordonné par l’Observatoire des jeux (ODJ).</w:t>
      </w:r>
    </w:p>
    <w:p w:rsidR="00F41F54" w:rsidRDefault="00F41F54" w:rsidP="00A45531">
      <w:pPr>
        <w:jc w:val="both"/>
      </w:pPr>
      <w:r>
        <w:t>Huit grandes familles de jeux ont été retenues pour appréhender la pluralité de cette pratique (jeux de tirage, jeux de grattage, paris sportifs, paris hippiques, poker, jeux de casinos, machines à sous, jeux de cartes et d’adresse). Les individus ayant joué au moins une fois à des jeux d’argent et de hasard sur la période concernée</w:t>
      </w:r>
      <w:r w:rsidR="00A80571">
        <w:t xml:space="preserve"> </w:t>
      </w:r>
      <w:r>
        <w:t xml:space="preserve">ont été invités dans un premier temps à décrire le type de jeu pratiqué. En fonction de ces réponses de premier niveau, chacun d’entre eux </w:t>
      </w:r>
      <w:r w:rsidR="001E263C">
        <w:t>a été</w:t>
      </w:r>
      <w:r>
        <w:t xml:space="preserve"> ensuite amené à détailler </w:t>
      </w:r>
      <w:r w:rsidR="001E263C">
        <w:t>sa</w:t>
      </w:r>
      <w:r>
        <w:t xml:space="preserve"> pratique par activité : fréquence de jeu, montant des mises engagées, durée de la session de jeu, type de support utilisé. A ces questions génériques, </w:t>
      </w:r>
      <w:r w:rsidR="001E263C">
        <w:t>s’ajoutent</w:t>
      </w:r>
      <w:r w:rsidR="00A80571">
        <w:t xml:space="preserve"> </w:t>
      </w:r>
      <w:r>
        <w:t>des questions propres à chacune des huit activités recensées afin d’affiner le profil des joueurs et de rendre compte des spécificités de chaque jeu (type de poker pratiqué, nombre moyen de tirages par session de jeu chez les joueurs de RAPIDO/AMIGO, nombre et types de jeux pratiqués dans les casinos, etc.). Un module sur les problèmes associés à la pratique de jeux au cours de la vie (contraction de dettes, actes délictueux, problèmes relationnels, idées suicidaires, etc.) ainsi que sur les démarches entreprises pour faire face à ce problème (type d’aide sollicitée, interlocuteur, niveau de satisfaction de l’aide reçue, etc.) viennent compléter cette thématique.</w:t>
      </w:r>
    </w:p>
    <w:p w:rsidR="00F41F54" w:rsidRDefault="00635A25" w:rsidP="00F41F54">
      <w:pPr>
        <w:pStyle w:val="Titre4"/>
      </w:pPr>
      <w:r>
        <w:t>Réalisation et approche methodologique</w:t>
      </w:r>
    </w:p>
    <w:p w:rsidR="00F41F54" w:rsidRDefault="00F41F54" w:rsidP="00A45531">
      <w:pPr>
        <w:jc w:val="both"/>
      </w:pPr>
      <w:r>
        <w:t>Cette enquête a été réalisée à l’aide du système d’interview par téléphone assistée par ordinateur. Le terrain, confié à l’institut Ipsos, s’est déroulé du 11 décembre 2013 au 19 mai 2014. Les numéros de téléphone sont générés aléatoirement, ce qui permet d’interroger les ménages en liste rouge. Pour être éligible, un ménage doit comporter au moins une personne de la tranche d’âge considérée (15 à 75 ans dans le cadre du Baromètre santé 2014) et parlant le français.</w:t>
      </w:r>
    </w:p>
    <w:p w:rsidR="00F41F54" w:rsidRDefault="00F41F54" w:rsidP="00A45531">
      <w:pPr>
        <w:jc w:val="both"/>
      </w:pPr>
      <w:r>
        <w:t>Pour faire face à l’abandon du téléphone filaire au profit du mobile par une partie de la population, l’échantillon a été découpé en deux sous-échantillons composé pour</w:t>
      </w:r>
      <w:r w:rsidR="001E263C">
        <w:t xml:space="preserve"> une</w:t>
      </w:r>
      <w:r>
        <w:t xml:space="preserve"> moitié d’individus disposant d’un téléphone filaire et</w:t>
      </w:r>
      <w:r w:rsidR="001E263C">
        <w:t xml:space="preserve"> pour l’autre</w:t>
      </w:r>
      <w:r>
        <w:t xml:space="preserve"> d’individus disposant d’un téléphone mobile à usage. Au total, l’échantillon comprend 15 635 individus. La passation du questionnaire durait en moyenne de 35 minutes dont 8 minutes pour le module sur les jeux.</w:t>
      </w:r>
    </w:p>
    <w:p w:rsidR="00635A25" w:rsidRDefault="00635A25" w:rsidP="00635A25">
      <w:pPr>
        <w:pStyle w:val="Titre4"/>
      </w:pPr>
      <w:r>
        <w:lastRenderedPageBreak/>
        <w:t>Les principaux enseignements</w:t>
      </w:r>
    </w:p>
    <w:p w:rsidR="00F41F54" w:rsidRDefault="00F41F54" w:rsidP="00A45531">
      <w:pPr>
        <w:jc w:val="both"/>
      </w:pPr>
      <w:r>
        <w:t>La réalisation d’une seconde enquête en 2014, quatre ans après celle réalisée en 2010 juste avant le changement du cadre législatif sur les jeux d’argent et de hasard, permet de comparer les résultats à ceux de la précédente et ainsi documenter l’évolution, sur cette période, des pratiques de jeux des Français, de leur fréquence, de leur intensité ainsi que de l’importance des dommages engendrés :</w:t>
      </w:r>
    </w:p>
    <w:p w:rsidR="00F41F54" w:rsidRDefault="001E263C" w:rsidP="00A45531">
      <w:pPr>
        <w:pStyle w:val="Listepuces"/>
        <w:jc w:val="both"/>
      </w:pPr>
      <w:r>
        <w:t>u</w:t>
      </w:r>
      <w:r w:rsidR="00F41F54">
        <w:t>ne augmentation de 10 points de la prévalence de jeu entre 2010 (46,4 %) et 2014 (56,2 %) ;</w:t>
      </w:r>
    </w:p>
    <w:p w:rsidR="00F41F54" w:rsidRDefault="001E263C" w:rsidP="00A45531">
      <w:pPr>
        <w:pStyle w:val="Listepuces"/>
        <w:jc w:val="both"/>
      </w:pPr>
      <w:r>
        <w:t>u</w:t>
      </w:r>
      <w:r w:rsidR="00F41F54">
        <w:t>ne grande majorité de joueur</w:t>
      </w:r>
      <w:r>
        <w:t>s</w:t>
      </w:r>
      <w:r w:rsidR="00F41F54">
        <w:t xml:space="preserve"> occasionnel</w:t>
      </w:r>
      <w:r>
        <w:t>s</w:t>
      </w:r>
      <w:r w:rsidR="00F41F54">
        <w:t xml:space="preserve"> ;</w:t>
      </w:r>
    </w:p>
    <w:p w:rsidR="00F41F54" w:rsidRDefault="001E263C" w:rsidP="00A45531">
      <w:pPr>
        <w:pStyle w:val="Listepuces"/>
        <w:jc w:val="both"/>
      </w:pPr>
      <w:r>
        <w:t>u</w:t>
      </w:r>
      <w:r w:rsidR="00F41F54">
        <w:t>ne prévalence de jeu problématique en augmentation : 2,7 % vs 1,4 % ;</w:t>
      </w:r>
    </w:p>
    <w:p w:rsidR="00F41F54" w:rsidRDefault="001E263C" w:rsidP="00A45531">
      <w:pPr>
        <w:pStyle w:val="Listepuces"/>
        <w:jc w:val="both"/>
      </w:pPr>
      <w:r>
        <w:t>l</w:t>
      </w:r>
      <w:r w:rsidR="00F41F54">
        <w:t>es joueurs problématiques, une population jeu</w:t>
      </w:r>
      <w:r>
        <w:t>ne</w:t>
      </w:r>
      <w:r w:rsidR="00F41F54">
        <w:t xml:space="preserve"> et fragile socialement ;</w:t>
      </w:r>
    </w:p>
    <w:p w:rsidR="00F41F54" w:rsidRDefault="001E263C" w:rsidP="00A45531">
      <w:pPr>
        <w:pStyle w:val="Listepuces"/>
        <w:jc w:val="both"/>
      </w:pPr>
      <w:r>
        <w:t>d</w:t>
      </w:r>
      <w:r w:rsidR="00F41F54">
        <w:t>es marqueurs identifiés du jeu problématique (multi-activité, jeu sur Internet, pratique de certaines activités).</w:t>
      </w:r>
    </w:p>
    <w:p w:rsidR="00F41F54" w:rsidRDefault="00F41F54" w:rsidP="00F41F54">
      <w:pPr>
        <w:pStyle w:val="Titre3"/>
      </w:pPr>
      <w:bookmarkStart w:id="18" w:name="_Toc317963410"/>
      <w:r>
        <w:t>E-ENJEU2015 (</w:t>
      </w:r>
      <w:r w:rsidR="00533772">
        <w:t>ODJ/</w:t>
      </w:r>
      <w:r>
        <w:t>GFK)</w:t>
      </w:r>
      <w:bookmarkEnd w:id="18"/>
    </w:p>
    <w:p w:rsidR="00635A25" w:rsidRDefault="00635A25" w:rsidP="00635A25">
      <w:pPr>
        <w:pStyle w:val="Titre4"/>
      </w:pPr>
      <w:r>
        <w:t>Contexte</w:t>
      </w:r>
    </w:p>
    <w:p w:rsidR="00F41F54" w:rsidRDefault="00F41F54" w:rsidP="00A45531">
      <w:pPr>
        <w:jc w:val="both"/>
      </w:pPr>
      <w:r>
        <w:t xml:space="preserve">Fin 2015, </w:t>
      </w:r>
      <w:r w:rsidR="001E263C">
        <w:t>l</w:t>
      </w:r>
      <w:r>
        <w:t>’Observatoire des jeux a mandaté un institut d’étude</w:t>
      </w:r>
      <w:r w:rsidR="001E263C">
        <w:t>s</w:t>
      </w:r>
      <w:r>
        <w:t xml:space="preserve"> pour la réalisation d’une étude online afin de réaliser une estimation du pourcentage des joueurs en ligne utilisant l’offre de jeu non régulée par l’Autorité de Régulation des Jeux En Ligne (ARJEL). L’Observatoire a confié à l’institut d’études GfK-ISL la mise en œuvre du terrain d’enquête online ad</w:t>
      </w:r>
      <w:r w:rsidR="001E263C">
        <w:t xml:space="preserve"> </w:t>
      </w:r>
      <w:r>
        <w:t>hoc, par interrogation d’un panel d’internautes. Cette étude, réalisée en auto-passation, comprend un questionnaire de 10 à 15 questions ciblant les individus français, âgés de 18 ans et plus qui ont joué à un jeu de hasard et d’argent sur internet au cours des 12 derniers mois.</w:t>
      </w:r>
    </w:p>
    <w:p w:rsidR="00F41F54" w:rsidRDefault="00F41F54" w:rsidP="00A45531">
      <w:pPr>
        <w:jc w:val="both"/>
      </w:pPr>
      <w:r>
        <w:t xml:space="preserve">Cette étude répond au besoin de suivi exprimé par les décideurs publics sur l’évolution et la part de l’activité des jeux d’argent et de hasard se situant hors du cadre légal. Une première approche, réalisée avec l’enquête « e-ENJEU 2012 » avait permis d’approcher et de quantifier la part des internautes jouant sur des sites non réglementés. </w:t>
      </w:r>
    </w:p>
    <w:p w:rsidR="00635A25" w:rsidRDefault="00635A25" w:rsidP="00635A25">
      <w:pPr>
        <w:pStyle w:val="Titre4"/>
      </w:pPr>
      <w:r>
        <w:t>Réalisation de l’enquete</w:t>
      </w:r>
    </w:p>
    <w:p w:rsidR="00F41F54" w:rsidRDefault="00F41F54" w:rsidP="00A45531">
      <w:pPr>
        <w:jc w:val="both"/>
      </w:pPr>
      <w:r>
        <w:t>L’enquête s’est déroulée entre le 10/11/2015 et le 25/11/2015 pour un total de 1002 interviews réalisées. La population cible comprend les individus âgés de 18 à 75 ans ayant engagé au moins une activité de jeu en ligne au cours des 12 derniers mois. Ces derniers étaient ensuite invités à remplir le(s) type(s) d’activité pratiqué(s) sur l’année ainsi qu’à renseigner le nom des sites utilisés parmi une liste préétablie. Une seconde partie, détaillant les motivations à jouer et l’appréhension de l’environnement numérique de jeu, permet d’apprécier pour chaque joueur le niveau de connaissance de la réglementation des jeux d’argent et de hasard en vigueur sur Internet.</w:t>
      </w:r>
    </w:p>
    <w:p w:rsidR="00F41F54" w:rsidRDefault="00635A25" w:rsidP="00635A25">
      <w:pPr>
        <w:pStyle w:val="Titre4"/>
      </w:pPr>
      <w:r>
        <w:t>Les principaux enseignements</w:t>
      </w:r>
    </w:p>
    <w:p w:rsidR="00F41F54" w:rsidRDefault="00F41F54" w:rsidP="00F41F54">
      <w:r>
        <w:t>(Etude en cours d’exploitation)</w:t>
      </w:r>
    </w:p>
    <w:p w:rsidR="00F41F54" w:rsidRDefault="00533772" w:rsidP="00635A25">
      <w:pPr>
        <w:pStyle w:val="Titre3"/>
      </w:pPr>
      <w:bookmarkStart w:id="19" w:name="_Toc317963411"/>
      <w:r>
        <w:t>Etude coût-bénéfice</w:t>
      </w:r>
      <w:bookmarkEnd w:id="19"/>
    </w:p>
    <w:p w:rsidR="00635A25" w:rsidRDefault="00635A25" w:rsidP="00635A25">
      <w:pPr>
        <w:pStyle w:val="Titre4"/>
      </w:pPr>
      <w:r>
        <w:t>Contexte</w:t>
      </w:r>
    </w:p>
    <w:p w:rsidR="00F41F54" w:rsidRDefault="00F41F54" w:rsidP="00A45531">
      <w:pPr>
        <w:jc w:val="both"/>
      </w:pPr>
      <w:r>
        <w:t>Les jeux de hasard et d’argent sont pratiqués par la moitié de la population française. Ils représentent un poids économique important : près de 40 milliards de mises par an, dont 5 milliards reviennent à l’Etat sous forme de prélèvements fiscaux, 100 000 emplois générés. Si une très large majorité des joueurs pratiquent cette activité de manière mesuré</w:t>
      </w:r>
      <w:r w:rsidR="003E48CB">
        <w:t>e</w:t>
      </w:r>
      <w:r>
        <w:t xml:space="preserve">, on estime que 600 000 d’entre eux sont engagés dans une pratique problématique </w:t>
      </w:r>
      <w:r>
        <w:lastRenderedPageBreak/>
        <w:t>engendrant des conséquences sanitaires ou sociales dommageables, dont 200 000 qui répondent aux critères définissant l’addiction au jeu. L’évaluation des conséquences économiques et sociales des pratiques ludiques est une attente forte des décideurs en vue d’adapter les politiques publiques en ce domaine. Au centre du débat est la question du bilan entre les coûts et les bénéfices que cette pratique génère pour l’ensemble de la collectivité.</w:t>
      </w:r>
    </w:p>
    <w:p w:rsidR="00F41F54" w:rsidRDefault="00635A25" w:rsidP="00635A25">
      <w:pPr>
        <w:pStyle w:val="Titre4"/>
      </w:pPr>
      <w:r>
        <w:t>Démarche</w:t>
      </w:r>
      <w:r w:rsidR="00A80571">
        <w:t xml:space="preserve"> </w:t>
      </w:r>
      <w:r>
        <w:t>et realisation de l’enquete</w:t>
      </w:r>
    </w:p>
    <w:p w:rsidR="00F41F54" w:rsidRDefault="00F41F54" w:rsidP="00A45531">
      <w:pPr>
        <w:jc w:val="both"/>
      </w:pPr>
      <w:r>
        <w:t>L’étude de l’impact des jeux de hasard et d’argent sur le bien-être individuel et collectif peut être menée à l’aide d’une analyse de type « Coût-Bénéfice ». Pour quantifier au mieux l’impact de cette pratique sur le bien-être de la société, il convient d’additionner les variations de surplus des consommateurs,</w:t>
      </w:r>
      <w:r w:rsidR="00A80571">
        <w:t xml:space="preserve"> </w:t>
      </w:r>
      <w:r>
        <w:t>des producteurs et de recettes publiques et de retrancher les variations de coût externe (chômage, divorce, suicide, qualité de vie diminuée) et de dépenses publiques (prévention, prise en charge médico-sociale).</w:t>
      </w:r>
    </w:p>
    <w:p w:rsidR="00F41F54" w:rsidRDefault="00F41F54" w:rsidP="00A45531">
      <w:pPr>
        <w:jc w:val="both"/>
      </w:pPr>
      <w:r>
        <w:t>Le surplus du consommateur, estimation du « plaisir » retiré de la pratique des jeux, est mesuré par la différence entre le prix que le consommateur serait prêt à payer pour consommer le bien et le prix qu’il paye effectivement. Le surplus du producteur, estimation du « profit économique », est mesuré par la différence entre le prix effectif de vente et le prix auquel le producteur était prêt à vendre le bien. Les éléments estimés par l’étude selon cette approche sont exposés selon le type d’impacts (coûts / bénéfices) et le type d’acteurs (consommateur, producteur, pouvoirs publics).</w:t>
      </w:r>
    </w:p>
    <w:p w:rsidR="00F41F54" w:rsidRDefault="00635A25" w:rsidP="00635A25">
      <w:pPr>
        <w:pStyle w:val="Titre4"/>
      </w:pPr>
      <w:r>
        <w:t>Constats et enseignements</w:t>
      </w:r>
    </w:p>
    <w:p w:rsidR="00F41F54" w:rsidRDefault="00F41F54" w:rsidP="00A45531">
      <w:pPr>
        <w:jc w:val="both"/>
      </w:pPr>
      <w:r>
        <w:t>L’évaluation de l’impact socio-économique des jeux de hasard et d’argent en France se heurte aux limites apportées par le manque de disponibilité́ de données sur de nombreux domaines. En effet, s’il est possible d'estimer l'essentiel des bénéfices induits par l'existence des jeux, de nombreux coûts sont manquants (coûts de perte de qualité́ de vie, co</w:t>
      </w:r>
      <w:r w:rsidR="003E48CB">
        <w:t>û</w:t>
      </w:r>
      <w:r>
        <w:t>ts de régulation, coûts médicaux, coûts liés à la criminalité́, aux procédures de surendettement et aux suicides en particulier).</w:t>
      </w:r>
    </w:p>
    <w:p w:rsidR="00F41F54" w:rsidRDefault="00F41F54" w:rsidP="00A45531">
      <w:pPr>
        <w:jc w:val="both"/>
      </w:pPr>
      <w:r>
        <w:t>Cette étude fournit une première analyse de l’impact socio-économique des jeux de hasard et d’argent en France. Elle permet de proposer un cadre d’analyse, de dresser une liste des impacts à prendre en compte, d’identifier les sources de données mobilisables et de fournir quelques premières estimations. Ce premier travail pointe aussi les nombreuses lacunes en matière de données disponibles et en appelle par là même à des études complémentaires futures.</w:t>
      </w:r>
    </w:p>
    <w:p w:rsidR="00F41F54" w:rsidRDefault="00533772" w:rsidP="00635A25">
      <w:pPr>
        <w:pStyle w:val="Titre3"/>
      </w:pPr>
      <w:bookmarkStart w:id="20" w:name="_Toc317963412"/>
      <w:r>
        <w:t>Etude taux de retour</w:t>
      </w:r>
      <w:bookmarkEnd w:id="20"/>
    </w:p>
    <w:p w:rsidR="00635A25" w:rsidRDefault="00635A25" w:rsidP="00635A25">
      <w:pPr>
        <w:pStyle w:val="Titre4"/>
      </w:pPr>
      <w:r>
        <w:t>Contexte</w:t>
      </w:r>
    </w:p>
    <w:p w:rsidR="00F41F54" w:rsidRDefault="00F41F54" w:rsidP="00A45531">
      <w:pPr>
        <w:jc w:val="both"/>
      </w:pPr>
      <w:r>
        <w:t>En 2012, l’Observatoire des jeux</w:t>
      </w:r>
      <w:r w:rsidR="00A80571">
        <w:t xml:space="preserve"> </w:t>
      </w:r>
      <w:r>
        <w:t>a conduit une première réflexion autour de la notion de taux de retour au joueur (TRJ) comme un des facteurs intervenant dans le passage au jeu problématique.</w:t>
      </w:r>
    </w:p>
    <w:p w:rsidR="00F41F54" w:rsidRDefault="00F41F54" w:rsidP="00A45531">
      <w:pPr>
        <w:jc w:val="both"/>
      </w:pPr>
      <w:r>
        <w:t>Le taux de retour aux joueurs,</w:t>
      </w:r>
      <w:r w:rsidR="00A80571">
        <w:t xml:space="preserve"> </w:t>
      </w:r>
      <w:r>
        <w:t>au centre de l’objet de cette étude, est la proportion des mises que les opérateurs restituent aux joueurs, sous forme de gains pour une période de temps donnée. Le niveau et le mode de calcul du TRJ sont très variables en fonction des différents types de jeu o</w:t>
      </w:r>
      <w:r w:rsidR="003E48CB">
        <w:t>ù</w:t>
      </w:r>
      <w:r>
        <w:t xml:space="preserve"> l’on distingue classiquement les jeux de hasard pur (les machines à sous, la roulette, les jeux de tirage ou de grattage) et les jeux de hasard raisonné, déterminé en fonction d’événements passés et de probabilités (paris hippiques, les paris sportifs, les jeux de cercle [jeux de cartes]).</w:t>
      </w:r>
    </w:p>
    <w:p w:rsidR="00F41F54" w:rsidRDefault="00F41F54" w:rsidP="00A45531">
      <w:pPr>
        <w:jc w:val="both"/>
      </w:pPr>
      <w:r>
        <w:t xml:space="preserve">La réglementation peut déterminer des proportions minimales ou maximales pour le TRJ. La fixation d’un maximum par les pouvoirs publics a deux objectifs principaux. En premier lieu, le plafonnement du TRJ vise à </w:t>
      </w:r>
      <w:r>
        <w:lastRenderedPageBreak/>
        <w:t xml:space="preserve">limiter les effets addictifs du jeu. En second lieu, il limite le recours au jeu d’argent comme moyen de blanchiment. En effet, un TRJ modéré rend ces opérations de blanchiment moins intéressantes. </w:t>
      </w:r>
    </w:p>
    <w:p w:rsidR="00F41F54" w:rsidRDefault="00F41F54" w:rsidP="00A45531">
      <w:pPr>
        <w:jc w:val="both"/>
      </w:pPr>
      <w:r>
        <w:t>À l’inverse, la fixation d’un taux minimal vise à assainir les conditions de concurrence entre opérateurs et à protéger les joueurs contre des taux de retour trop faibles (compte tenu notamment de la faible connaiss</w:t>
      </w:r>
      <w:r w:rsidR="00635A25">
        <w:t xml:space="preserve">ance des TRJ par les joueurs). </w:t>
      </w:r>
    </w:p>
    <w:p w:rsidR="00635A25" w:rsidRDefault="00635A25" w:rsidP="00635A25">
      <w:pPr>
        <w:pStyle w:val="Titre4"/>
      </w:pPr>
      <w:r>
        <w:t>Réalisation de l’étude</w:t>
      </w:r>
    </w:p>
    <w:p w:rsidR="00F41F54" w:rsidRDefault="00F41F54" w:rsidP="00A45531">
      <w:pPr>
        <w:jc w:val="both"/>
      </w:pPr>
      <w:r>
        <w:t>L’étude demandée à l’Observatoire des Jeux</w:t>
      </w:r>
      <w:r w:rsidR="00A80571">
        <w:t xml:space="preserve"> </w:t>
      </w:r>
      <w:r>
        <w:t>s’est appuyée sur une série d’entretiens approfondis ainsi qu’une revue de littérature scientifique internationale existante sur la question. Une quinzaine de personnes représentant des opérateurs de jeu, des associations d’aide aux joueurs et des professionnels de santé ont été auditionnés de septembre 2011 à janvier 2012. Interrogés sur la question de l’existence éventuelle d’un lien entre TRJ élevé et addiction, une large majorité des experts et des professionnels de la prévention et du soin aux joueurs appuie cette hypothèse dans une perspective de lien indirect, le lien direct s’établissant entre élévation du TRJ et augmentation des facteurs de risque du jeu problématique. Au-delà de ce consensus, des nuances apparaissent sur la contribution relative du TRJ dans la multiplicité des facteurs intervenant dans le passage au jeu problématique.</w:t>
      </w:r>
    </w:p>
    <w:p w:rsidR="00F41F54" w:rsidRDefault="00635A25" w:rsidP="00635A25">
      <w:pPr>
        <w:pStyle w:val="Titre4"/>
      </w:pPr>
      <w:r>
        <w:t>Constats et recommandations</w:t>
      </w:r>
    </w:p>
    <w:p w:rsidR="00F41F54" w:rsidRDefault="00F41F54" w:rsidP="00A45531">
      <w:pPr>
        <w:jc w:val="both"/>
      </w:pPr>
      <w:r>
        <w:t>La littérature scientifique n’apporte pas de preuves définitives sur un lien existant entre TRJ élevé et addiction. Non parce que ce lien est inexistant, mais parce que sa mise en évidence est très difficile, voire impossible à démontrer sur le plan méthodologique.</w:t>
      </w:r>
    </w:p>
    <w:p w:rsidR="00F41F54" w:rsidRDefault="00F41F54" w:rsidP="00A45531">
      <w:pPr>
        <w:jc w:val="both"/>
      </w:pPr>
      <w:r>
        <w:t>Cependant celle-ci apporte des preuves d’évidence sur l’impact possible d’une modification du TRJ sur la demande globale de jeux ; une augmentation de celui-là entraînant une hausse significative de celle-ci. Cette constatation est confirmée par une très large majorité de personnalités interviewées lors de l’étude et relève du bon sens : à sommes engagées dans le jeu équivalentes, une augmentation du TRJ entraîne une progression exponentielle des facteurs de risque reconnus des pratiques de jeu (temps de jeu, occurrences de gains…).</w:t>
      </w:r>
    </w:p>
    <w:p w:rsidR="00F41F54" w:rsidRDefault="00F41F54" w:rsidP="00A45531">
      <w:pPr>
        <w:jc w:val="both"/>
      </w:pPr>
      <w:r>
        <w:t>Sur la question du blanchiment, le recours au secteur des jeux d’argent semble marginal, mais sensible. Si le TRJ n’est pas essentiel dans le détournement d’un jeu comme moyen de blanchiment, on peut considérer toutefois que son augmentation élève le niveau de risque de blanchiment en faisant baisser son coût : en augmentant le taux de retour, on rend plus attractif ce moyen de blanchiment et donc on prend le risque de voir se développer les opérations de blanchiment dans ce secteur.</w:t>
      </w:r>
    </w:p>
    <w:p w:rsidR="00F41F54" w:rsidRDefault="00F41F54" w:rsidP="00A45531">
      <w:pPr>
        <w:jc w:val="both"/>
      </w:pPr>
      <w:r>
        <w:t>Sur la base de ces constats, l’ODJ considère qu’il est raisonnable de penser qu’une augmentation du TRJ conduirait à une progression significative de la demande de jeu et pourrait induire une augmentation du nombre de joueurs problématiques, du moins pour certaines formes de jeu, et pourrait accroître le risque d’utilisation du jeu comme moyen de blanchiment.</w:t>
      </w:r>
    </w:p>
    <w:p w:rsidR="00F41F54" w:rsidRDefault="00533772" w:rsidP="00635A25">
      <w:pPr>
        <w:pStyle w:val="Titre3"/>
      </w:pPr>
      <w:bookmarkStart w:id="21" w:name="_Toc317963413"/>
      <w:r>
        <w:t>Modèle prédictif du jeu problématique</w:t>
      </w:r>
      <w:r w:rsidR="00635A25">
        <w:t xml:space="preserve"> (</w:t>
      </w:r>
      <w:r>
        <w:t>ODJ/Arjel</w:t>
      </w:r>
      <w:r w:rsidR="00635A25">
        <w:t>)</w:t>
      </w:r>
      <w:bookmarkEnd w:id="21"/>
    </w:p>
    <w:p w:rsidR="00635A25" w:rsidRDefault="00635A25" w:rsidP="00635A25">
      <w:pPr>
        <w:pStyle w:val="Titre4"/>
      </w:pPr>
      <w:r>
        <w:t>Contexte</w:t>
      </w:r>
    </w:p>
    <w:p w:rsidR="00F41F54" w:rsidRDefault="00F41F54" w:rsidP="00A45531">
      <w:pPr>
        <w:jc w:val="both"/>
      </w:pPr>
      <w:r>
        <w:t xml:space="preserve">Le jeu d’argent et de hasard en ligne concerne actuellement 4% de la population française. L’utilisation du média internet représente un sur-risque pour ces pratiques ludiques. La prévalence de jeu problématique parmi les joueurs en ligne est plus importante que celle documentée pour les jeux traditionnels. Le jeu problématique en ligne représente un enjeu de santé publique important. </w:t>
      </w:r>
    </w:p>
    <w:p w:rsidR="00F41F54" w:rsidRDefault="00F41F54" w:rsidP="00A45531">
      <w:pPr>
        <w:jc w:val="both"/>
      </w:pPr>
      <w:r>
        <w:lastRenderedPageBreak/>
        <w:t xml:space="preserve">Le jeu en ligne quand il se pratique sur l’offre régulée par </w:t>
      </w:r>
      <w:r w:rsidR="003E48CB">
        <w:t>l</w:t>
      </w:r>
      <w:r>
        <w:t>’ARJEL offre l’avantage d’être sous observation continue. Les données d’activité sont collectées et stockées par l’ARJEL au niveau individuel. L’ARJEL dispose d’une base de données pouvant délivrer des indicateurs d’activité pour chaque joueur actif. Il semble donc opportun d’étudier la capacité de ces données à prédire le comportement problématique de certains des joueurs.</w:t>
      </w:r>
    </w:p>
    <w:p w:rsidR="00F41F54" w:rsidRDefault="00F41F54" w:rsidP="00A45531">
      <w:pPr>
        <w:jc w:val="both"/>
      </w:pPr>
      <w:r>
        <w:t>L’élaboration d’un modèle prédictif de jeu problématique basé sur l’analyse des données d’activité collectées en routine ouvre la possibilité d’une réponse pertinente sur deux plans :</w:t>
      </w:r>
    </w:p>
    <w:p w:rsidR="00F41F54" w:rsidRDefault="00F41F54" w:rsidP="00A45531">
      <w:pPr>
        <w:jc w:val="both"/>
      </w:pPr>
      <w:r>
        <w:t>•</w:t>
      </w:r>
      <w:r>
        <w:tab/>
        <w:t>Une action individualisée, orientation vers une prise en charge spécialisée, pour les joueurs détectés comme pathologiques ;</w:t>
      </w:r>
    </w:p>
    <w:p w:rsidR="00F41F54" w:rsidRDefault="00F41F54" w:rsidP="00A45531">
      <w:pPr>
        <w:jc w:val="both"/>
      </w:pPr>
      <w:r>
        <w:t>•</w:t>
      </w:r>
      <w:r>
        <w:tab/>
        <w:t>Des dispositifs de prévention ou réduction des risques pour les joueurs détect</w:t>
      </w:r>
      <w:r w:rsidR="00635A25">
        <w:t>és comme problématiques.</w:t>
      </w:r>
    </w:p>
    <w:p w:rsidR="00F41F54" w:rsidRDefault="00635A25" w:rsidP="00635A25">
      <w:pPr>
        <w:pStyle w:val="Titre4"/>
      </w:pPr>
      <w:r>
        <w:t>Réalisation de l’étude</w:t>
      </w:r>
    </w:p>
    <w:p w:rsidR="00F41F54" w:rsidRDefault="00F41F54" w:rsidP="00A45531">
      <w:pPr>
        <w:jc w:val="both"/>
      </w:pPr>
      <w:r>
        <w:t>La démarche générale vise dans une première phase à réaliser une analyse statistique des indicateurs « marqueurs comportementaux » pouvant être fournis par les données de régulation afin de déterminer leur pouvoir prédictif, puis dans une seconde phase à faire passer auprès d’un échantillon de joueurs (10 000 individus) pour lesquels on dispose des données d’activité, les neufs questions de l’ICJE et d’analyser la performance du modèle théorique au regard des scores à l’ICJE recueillis.</w:t>
      </w:r>
    </w:p>
    <w:p w:rsidR="00F41F54" w:rsidRDefault="00F41F54" w:rsidP="00A45531">
      <w:pPr>
        <w:jc w:val="both"/>
      </w:pPr>
      <w:r>
        <w:t xml:space="preserve">Pour ce faire, le recrutement des joueurs se fera par courriels adressés par l’ARJEL </w:t>
      </w:r>
      <w:r w:rsidR="00FE4DA1">
        <w:t>d</w:t>
      </w:r>
      <w:r>
        <w:t>o</w:t>
      </w:r>
      <w:r w:rsidR="00FE4DA1">
        <w:t>nt</w:t>
      </w:r>
      <w:r>
        <w:t xml:space="preserve"> les équipes de recherche associées seront cosignataires. Le courriel proposera au joueur de participer à l’étude en lui proposant un lien le dirigeant vers un site dédié à l’étude.</w:t>
      </w:r>
    </w:p>
    <w:p w:rsidR="00F41F54" w:rsidRDefault="00F41F54" w:rsidP="00A45531">
      <w:pPr>
        <w:jc w:val="both"/>
      </w:pPr>
      <w:r>
        <w:t>Chaque joueur pourra ainsi être classé comme problématique ou pathologique en fonction de ses comportements dans chacune des activités qu’il pratique et/ou des</w:t>
      </w:r>
      <w:r w:rsidR="00635A25">
        <w:t xml:space="preserve"> comportements généraux de jeu.</w:t>
      </w:r>
    </w:p>
    <w:p w:rsidR="00F14B81" w:rsidRPr="001E323A" w:rsidRDefault="00F14B81" w:rsidP="00A45531">
      <w:pPr>
        <w:jc w:val="both"/>
      </w:pPr>
      <w:r w:rsidRPr="001E323A">
        <w:t xml:space="preserve">Pour assurer l’analyse statistique complexe de cette étude, l’ODJ a fait appel aux services </w:t>
      </w:r>
      <w:r w:rsidR="001E323A" w:rsidRPr="001E323A">
        <w:t>de l’ENSAE Junior Études (EJE).</w:t>
      </w:r>
    </w:p>
    <w:p w:rsidR="00F41F54" w:rsidRDefault="00635A25" w:rsidP="00635A25">
      <w:pPr>
        <w:pStyle w:val="Titre4"/>
      </w:pPr>
      <w:r w:rsidRPr="001E323A">
        <w:t>Constats et enseignements</w:t>
      </w:r>
    </w:p>
    <w:p w:rsidR="00F41F54" w:rsidRDefault="00F41F54" w:rsidP="00F41F54">
      <w:r>
        <w:t xml:space="preserve">(Étude en cours de </w:t>
      </w:r>
      <w:r w:rsidR="001E323A">
        <w:t>réalisation)</w:t>
      </w:r>
      <w:r>
        <w:t>.</w:t>
      </w:r>
    </w:p>
    <w:p w:rsidR="00F41F54" w:rsidRDefault="00F41F54" w:rsidP="00F41F54"/>
    <w:p w:rsidR="00796429" w:rsidRDefault="00796429" w:rsidP="00412B89">
      <w:pPr>
        <w:pStyle w:val="Titre2"/>
      </w:pPr>
      <w:bookmarkStart w:id="22" w:name="_Toc317963414"/>
      <w:r>
        <w:t>Publications</w:t>
      </w:r>
      <w:bookmarkEnd w:id="22"/>
    </w:p>
    <w:p w:rsidR="00796429" w:rsidRDefault="00412B89" w:rsidP="00412B89">
      <w:pPr>
        <w:pStyle w:val="Titre3"/>
      </w:pPr>
      <w:bookmarkStart w:id="23" w:name="_Toc317963415"/>
      <w:r>
        <w:t>Notes ODJ</w:t>
      </w:r>
      <w:bookmarkEnd w:id="23"/>
    </w:p>
    <w:p w:rsidR="00533772" w:rsidRDefault="00533772" w:rsidP="007667B3">
      <w:pPr>
        <w:jc w:val="both"/>
      </w:pPr>
      <w:r>
        <w:t>L’ODJ s’est doté depuis de son propre format de publication intitulé « Les notes de l’Observatoire des jeux ». Cette lettre d’information présente les résultats d’enquêtes qui portent sur les connaissances, attitudes et comportement en matière de jeux d’argent et de hasard des personnes résidant en France. Outre l’approche épidémiologique, ce support présente également les principaux résultats de travaux à caractère économique réalisés sur ce champ.</w:t>
      </w:r>
    </w:p>
    <w:p w:rsidR="00533772" w:rsidRDefault="00533772" w:rsidP="007667B3">
      <w:pPr>
        <w:jc w:val="both"/>
      </w:pPr>
      <w:r>
        <w:t>Six notes sont disponibles à ce jour et consultables :</w:t>
      </w:r>
    </w:p>
    <w:p w:rsidR="00533772" w:rsidRPr="006406EE" w:rsidRDefault="00592F26" w:rsidP="00A45531">
      <w:pPr>
        <w:pStyle w:val="Listepuces"/>
        <w:jc w:val="both"/>
        <w:rPr>
          <w:rFonts w:eastAsia="Times New Roman" w:cs="Arial"/>
          <w:color w:val="000000"/>
        </w:rPr>
      </w:pPr>
      <w:hyperlink r:id="rId14" w:history="1">
        <w:r w:rsidR="00533772" w:rsidRPr="006406EE">
          <w:rPr>
            <w:rFonts w:eastAsia="Times New Roman" w:cs="Arial"/>
            <w:color w:val="0066CC"/>
            <w:u w:val="single"/>
          </w:rPr>
          <w:t>Télécharger</w:t>
        </w:r>
      </w:hyperlink>
      <w:r w:rsidR="00533772" w:rsidRPr="006406EE">
        <w:rPr>
          <w:rFonts w:eastAsia="Times New Roman" w:cs="Arial"/>
          <w:color w:val="000000"/>
        </w:rPr>
        <w:t xml:space="preserve"> Note 1: Taux de retour au joueur, addiction et blanchiment</w:t>
      </w:r>
      <w:r w:rsidR="00533772">
        <w:rPr>
          <w:rFonts w:eastAsia="Times New Roman" w:cs="Arial"/>
          <w:color w:val="000000"/>
        </w:rPr>
        <w:t> ;</w:t>
      </w:r>
    </w:p>
    <w:p w:rsidR="00533772" w:rsidRPr="006406EE" w:rsidRDefault="00592F26" w:rsidP="00A45531">
      <w:pPr>
        <w:pStyle w:val="Listepuces"/>
        <w:jc w:val="both"/>
      </w:pPr>
      <w:hyperlink r:id="rId15" w:history="1">
        <w:r w:rsidR="00533772" w:rsidRPr="006406EE">
          <w:rPr>
            <w:color w:val="0066CC"/>
            <w:u w:val="single"/>
          </w:rPr>
          <w:t>Télécharger</w:t>
        </w:r>
      </w:hyperlink>
      <w:r w:rsidR="00533772" w:rsidRPr="006406EE">
        <w:t xml:space="preserve"> Note 2: La fiscalité des jeux de hasard et d'argent</w:t>
      </w:r>
      <w:r w:rsidR="00533772">
        <w:t> ;</w:t>
      </w:r>
    </w:p>
    <w:p w:rsidR="00533772" w:rsidRPr="006406EE" w:rsidRDefault="00592F26" w:rsidP="00A45531">
      <w:pPr>
        <w:pStyle w:val="Listepuces"/>
        <w:jc w:val="both"/>
      </w:pPr>
      <w:hyperlink r:id="rId16" w:history="1">
        <w:r w:rsidR="00533772" w:rsidRPr="006406EE">
          <w:rPr>
            <w:color w:val="0066CC"/>
            <w:u w:val="single"/>
          </w:rPr>
          <w:t>Télécharger</w:t>
        </w:r>
      </w:hyperlink>
      <w:r w:rsidR="00533772" w:rsidRPr="006406EE">
        <w:t xml:space="preserve"> Note 3: Les joueurs de poker en ligne</w:t>
      </w:r>
      <w:r w:rsidR="00533772">
        <w:t> ;</w:t>
      </w:r>
    </w:p>
    <w:p w:rsidR="00533772" w:rsidRPr="006406EE" w:rsidRDefault="00592F26" w:rsidP="00A45531">
      <w:pPr>
        <w:pStyle w:val="Listepuces"/>
        <w:jc w:val="both"/>
      </w:pPr>
      <w:hyperlink r:id="rId17" w:history="1">
        <w:r w:rsidR="00533772" w:rsidRPr="006406EE">
          <w:rPr>
            <w:color w:val="0066CC"/>
            <w:u w:val="single"/>
          </w:rPr>
          <w:t>Télécharger</w:t>
        </w:r>
      </w:hyperlink>
      <w:r w:rsidR="00533772" w:rsidRPr="006406EE">
        <w:t xml:space="preserve"> Note 4: Les joueurs de paris sportifs et hippiques en ligne</w:t>
      </w:r>
      <w:r w:rsidR="00533772">
        <w:t> ;</w:t>
      </w:r>
    </w:p>
    <w:p w:rsidR="00533772" w:rsidRPr="006406EE" w:rsidRDefault="00592F26" w:rsidP="00A45531">
      <w:pPr>
        <w:pStyle w:val="Listepuces"/>
        <w:jc w:val="both"/>
      </w:pPr>
      <w:hyperlink r:id="rId18" w:history="1">
        <w:r w:rsidR="00533772" w:rsidRPr="006406EE">
          <w:rPr>
            <w:color w:val="0066CC"/>
            <w:u w:val="single"/>
          </w:rPr>
          <w:t>Télécharger</w:t>
        </w:r>
      </w:hyperlink>
      <w:r w:rsidR="00533772" w:rsidRPr="006406EE">
        <w:t xml:space="preserve"> Note 5: Première évaluation de l'impact socio-économique des jeux d'argent et de hasard en </w:t>
      </w:r>
      <w:r w:rsidR="00533772">
        <w:t>France ;</w:t>
      </w:r>
    </w:p>
    <w:p w:rsidR="00533772" w:rsidRPr="00533772" w:rsidRDefault="00592F26" w:rsidP="00A45531">
      <w:pPr>
        <w:pStyle w:val="Listepuces"/>
        <w:jc w:val="both"/>
        <w:rPr>
          <w:rFonts w:eastAsia="Times New Roman" w:cs="Arial"/>
          <w:color w:val="000000"/>
        </w:rPr>
      </w:pPr>
      <w:hyperlink r:id="rId19" w:history="1">
        <w:r w:rsidR="00533772" w:rsidRPr="006406EE">
          <w:rPr>
            <w:rFonts w:eastAsia="Times New Roman" w:cs="Arial"/>
            <w:color w:val="0066CC"/>
            <w:u w:val="single"/>
          </w:rPr>
          <w:t>Télécharger</w:t>
        </w:r>
      </w:hyperlink>
      <w:r w:rsidR="00533772" w:rsidRPr="006406EE">
        <w:rPr>
          <w:rFonts w:eastAsia="Times New Roman" w:cs="Arial"/>
          <w:color w:val="000000"/>
        </w:rPr>
        <w:t xml:space="preserve"> Note 6: Les jeux d'argent et de hasard en France en 2014</w:t>
      </w:r>
      <w:r w:rsidR="00533772">
        <w:rPr>
          <w:rFonts w:eastAsia="Times New Roman" w:cs="Arial"/>
          <w:color w:val="000000"/>
        </w:rPr>
        <w:t> ;</w:t>
      </w:r>
    </w:p>
    <w:p w:rsidR="00533772" w:rsidRDefault="00412B89" w:rsidP="008B5FC3">
      <w:pPr>
        <w:pStyle w:val="Titre3"/>
      </w:pPr>
      <w:bookmarkStart w:id="24" w:name="_Toc317963416"/>
      <w:r>
        <w:t>Articles</w:t>
      </w:r>
      <w:bookmarkEnd w:id="24"/>
    </w:p>
    <w:p w:rsidR="008B5FC3" w:rsidRDefault="008B5FC3" w:rsidP="00A45531">
      <w:pPr>
        <w:jc w:val="both"/>
      </w:pPr>
      <w:r>
        <w:t>L’Observatoire des jeux, outre son propre support de publication, travaille en étroite collaboration avec plusieurs équipes donnant lieu à la publication d’articles dans des revues françaises et internationales et renforçant par la même sa visibilité. L’université Concordia du Québec, le CHU de Nantes, l’hôpital Marmottan, l’INSERM sont autant d’acteur</w:t>
      </w:r>
      <w:r w:rsidR="00FE4DA1">
        <w:t>s</w:t>
      </w:r>
      <w:r>
        <w:t xml:space="preserve"> avec qui l’Observatoire entretient</w:t>
      </w:r>
      <w:r w:rsidR="00A80571">
        <w:t xml:space="preserve"> </w:t>
      </w:r>
      <w:r>
        <w:t>une collaboration fructueuse de recherche.</w:t>
      </w:r>
    </w:p>
    <w:p w:rsidR="008B5FC3" w:rsidRDefault="00E74F74" w:rsidP="00A45531">
      <w:pPr>
        <w:jc w:val="both"/>
      </w:pPr>
      <w:r>
        <w:t>L</w:t>
      </w:r>
      <w:r w:rsidR="008B5FC3">
        <w:t>’OD</w:t>
      </w:r>
      <w:r w:rsidR="00EE4AD1">
        <w:t>J</w:t>
      </w:r>
      <w:r w:rsidR="008B5FC3">
        <w:t xml:space="preserve"> a </w:t>
      </w:r>
      <w:r>
        <w:t xml:space="preserve">rédigé ou </w:t>
      </w:r>
      <w:r w:rsidR="008B5FC3">
        <w:t xml:space="preserve">contribué </w:t>
      </w:r>
      <w:r>
        <w:t>aux articles suivants</w:t>
      </w:r>
      <w:r w:rsidR="008B5FC3">
        <w:t xml:space="preserve"> :</w:t>
      </w:r>
    </w:p>
    <w:p w:rsidR="00E74F74" w:rsidRPr="00444593" w:rsidRDefault="00E74F74" w:rsidP="00A45531">
      <w:pPr>
        <w:pStyle w:val="Listepuces"/>
        <w:jc w:val="both"/>
      </w:pPr>
      <w:hyperlink r:id="rId20" w:tgtFrame="_blank" w:tooltip="Ouvrir le site " w:history="1">
        <w:r w:rsidRPr="00444593">
          <w:rPr>
            <w:color w:val="0066CC"/>
            <w:u w:val="single"/>
          </w:rPr>
          <w:t>Revue SWAPS n° 65</w:t>
        </w:r>
      </w:hyperlink>
      <w:r w:rsidRPr="00444593">
        <w:t>: Santé, réduction des risques et usage de drogues, 4ème trimestre 2011</w:t>
      </w:r>
    </w:p>
    <w:p w:rsidR="00E74F74" w:rsidRPr="00444593" w:rsidRDefault="00E74F74" w:rsidP="00A45531">
      <w:pPr>
        <w:pStyle w:val="Listepuces"/>
        <w:jc w:val="both"/>
      </w:pPr>
      <w:r w:rsidRPr="00444593">
        <w:rPr>
          <w:lang w:val="en-US"/>
        </w:rPr>
        <w:t xml:space="preserve">Costes J.-M., Kairouz S., Eroukmanoff V., Monson E. (2015). </w:t>
      </w:r>
      <w:hyperlink r:id="rId21" w:tgtFrame="_blank" w:tooltip="Ouvrir le site " w:history="1">
        <w:r w:rsidRPr="00444593">
          <w:rPr>
            <w:color w:val="0066CC"/>
            <w:u w:val="single"/>
            <w:lang w:val="en-US"/>
          </w:rPr>
          <w:t>Gambling patterns and problems of gamblers on licensed and unlicensed sites in France</w:t>
        </w:r>
      </w:hyperlink>
      <w:r w:rsidRPr="00444593">
        <w:rPr>
          <w:lang w:val="en-US"/>
        </w:rPr>
        <w:t xml:space="preserve">. </w:t>
      </w:r>
      <w:r w:rsidRPr="00444593">
        <w:rPr>
          <w:i/>
          <w:iCs/>
        </w:rPr>
        <w:t>Journal of Gambling Studies.</w:t>
      </w:r>
      <w:r w:rsidRPr="00444593">
        <w:t xml:space="preserve"> DOI: 10.1007/s10899-015-9541-2</w:t>
      </w:r>
    </w:p>
    <w:p w:rsidR="008B5FC3" w:rsidRPr="00E74F74" w:rsidRDefault="00E74F74" w:rsidP="00A45531">
      <w:pPr>
        <w:pStyle w:val="Listepuces"/>
        <w:jc w:val="both"/>
      </w:pPr>
      <w:r w:rsidRPr="00444593">
        <w:t xml:space="preserve">Costes, J.-M., Kairouz, S., Pousset, M. (2014). </w:t>
      </w:r>
      <w:hyperlink r:id="rId22" w:tgtFrame="_blank" w:tooltip="Ouvrir le site " w:history="1">
        <w:r w:rsidRPr="00444593">
          <w:rPr>
            <w:color w:val="0066CC"/>
            <w:u w:val="single"/>
          </w:rPr>
          <w:t>Jeu problématique en France?</w:t>
        </w:r>
        <w:r>
          <w:rPr>
            <w:color w:val="0066CC"/>
            <w:u w:val="single"/>
          </w:rPr>
          <w:t xml:space="preserve"> </w:t>
        </w:r>
        <w:r w:rsidRPr="00444593">
          <w:rPr>
            <w:color w:val="0066CC"/>
            <w:u w:val="single"/>
          </w:rPr>
          <w:t>: une première enquête nationale</w:t>
        </w:r>
      </w:hyperlink>
      <w:r w:rsidRPr="00444593">
        <w:t xml:space="preserve">. </w:t>
      </w:r>
      <w:r w:rsidRPr="00444593">
        <w:rPr>
          <w:i/>
          <w:iCs/>
        </w:rPr>
        <w:t xml:space="preserve">Drogues, santé et société. </w:t>
      </w:r>
    </w:p>
    <w:p w:rsidR="00E74F74" w:rsidRPr="00990093" w:rsidRDefault="00592F26" w:rsidP="00A45531">
      <w:pPr>
        <w:pStyle w:val="Listepuces"/>
        <w:jc w:val="both"/>
        <w:rPr>
          <w:rFonts w:eastAsia="Times New Roman" w:cs="Arial"/>
          <w:color w:val="000000"/>
          <w:lang w:val="en-US"/>
        </w:rPr>
      </w:pPr>
      <w:hyperlink r:id="rId23" w:history="1">
        <w:r w:rsidR="00E74F74" w:rsidRPr="00990093">
          <w:rPr>
            <w:rFonts w:eastAsia="Times New Roman" w:cs="Arial"/>
            <w:color w:val="0066CC"/>
            <w:u w:val="single"/>
            <w:lang w:val="en-US"/>
          </w:rPr>
          <w:t>Télécharger</w:t>
        </w:r>
      </w:hyperlink>
      <w:r w:rsidR="00E74F74" w:rsidRPr="00990093">
        <w:rPr>
          <w:rFonts w:eastAsia="Times New Roman" w:cs="Arial"/>
          <w:color w:val="000000"/>
          <w:lang w:val="en-US"/>
        </w:rPr>
        <w:t xml:space="preserve"> Towards a validation of the three pathways model of pathological gambling, Journal of gambling studies, may 2015</w:t>
      </w:r>
    </w:p>
    <w:p w:rsidR="00E74F74" w:rsidRPr="00990093" w:rsidRDefault="00E74F74" w:rsidP="00A45531">
      <w:pPr>
        <w:pStyle w:val="Listepuces"/>
        <w:jc w:val="both"/>
        <w:rPr>
          <w:rFonts w:eastAsia="Times New Roman" w:cs="Arial"/>
          <w:color w:val="000000"/>
        </w:rPr>
      </w:pPr>
      <w:hyperlink r:id="rId24" w:tgtFrame="_blank" w:tooltip="Ouvrir le site " w:history="1">
        <w:r w:rsidRPr="00990093">
          <w:rPr>
            <w:rFonts w:eastAsia="Times New Roman" w:cs="Arial"/>
            <w:color w:val="0066CC"/>
            <w:u w:val="single"/>
          </w:rPr>
          <w:t>Télécharger</w:t>
        </w:r>
      </w:hyperlink>
      <w:r w:rsidRPr="00990093">
        <w:rPr>
          <w:rFonts w:eastAsia="Times New Roman" w:cs="Arial"/>
          <w:color w:val="000000"/>
        </w:rPr>
        <w:t xml:space="preserve"> Tendances 85: Les jeux d'argent et de hasard sur Internet en France en 2012, OFDT / ODJ</w:t>
      </w:r>
    </w:p>
    <w:p w:rsidR="00E74F74" w:rsidRPr="00990093" w:rsidRDefault="00E74F74" w:rsidP="00A45531">
      <w:pPr>
        <w:pStyle w:val="Listepuces"/>
        <w:jc w:val="both"/>
        <w:rPr>
          <w:rFonts w:eastAsia="Times New Roman" w:cs="Arial"/>
          <w:color w:val="000000"/>
        </w:rPr>
      </w:pPr>
      <w:hyperlink r:id="rId25" w:tgtFrame="_blank" w:tooltip="Ouvrir le site " w:history="1">
        <w:r w:rsidRPr="00990093">
          <w:rPr>
            <w:rFonts w:eastAsia="Times New Roman" w:cs="Arial"/>
            <w:color w:val="0066CC"/>
            <w:u w:val="single"/>
          </w:rPr>
          <w:t>Télécharger</w:t>
        </w:r>
      </w:hyperlink>
      <w:r w:rsidRPr="00990093">
        <w:rPr>
          <w:rFonts w:eastAsia="Times New Roman" w:cs="Arial"/>
          <w:color w:val="000000"/>
        </w:rPr>
        <w:t xml:space="preserve"> Tendances 77: Les niveaux et pratiques des jeux de hasard et d'argent en 2010, OFDT</w:t>
      </w:r>
    </w:p>
    <w:p w:rsidR="00E74F74" w:rsidRPr="00990093" w:rsidRDefault="00E74F74" w:rsidP="00A45531">
      <w:pPr>
        <w:pStyle w:val="Listepuces"/>
        <w:jc w:val="both"/>
        <w:rPr>
          <w:rFonts w:eastAsia="Times New Roman" w:cs="Arial"/>
          <w:color w:val="000000"/>
        </w:rPr>
      </w:pPr>
      <w:hyperlink r:id="rId26" w:tgtFrame="_blank" w:tooltip="Ouvrir le site " w:history="1">
        <w:r w:rsidRPr="00990093">
          <w:rPr>
            <w:rFonts w:eastAsia="Times New Roman" w:cs="Arial"/>
            <w:color w:val="0066CC"/>
            <w:u w:val="single"/>
          </w:rPr>
          <w:t>Télécharger</w:t>
        </w:r>
      </w:hyperlink>
      <w:r w:rsidRPr="00990093">
        <w:rPr>
          <w:rFonts w:eastAsia="Times New Roman" w:cs="Arial"/>
          <w:color w:val="000000"/>
        </w:rPr>
        <w:t xml:space="preserve"> Rapport sur le taux de retour au joueur (TRJ), addiction et blanchiment</w:t>
      </w:r>
    </w:p>
    <w:p w:rsidR="00412B89" w:rsidRDefault="00412B89" w:rsidP="00412B89">
      <w:pPr>
        <w:pStyle w:val="Titre3"/>
      </w:pPr>
      <w:bookmarkStart w:id="25" w:name="_Toc317963417"/>
      <w:r>
        <w:t>Site internet</w:t>
      </w:r>
      <w:bookmarkEnd w:id="25"/>
    </w:p>
    <w:p w:rsidR="00E74F74" w:rsidRDefault="00E74F74" w:rsidP="00A45531">
      <w:pPr>
        <w:jc w:val="both"/>
      </w:pPr>
      <w:r w:rsidRPr="00E74F74">
        <w:t>Mis en place fin 2012, le site de l’Observatoire des jeux met à disposition des professionnels, du grand public et de toutes personnes s’intéressant à cette thématique, un ensemble de données et d’indicateurs sur l’industrie des jeux. Véritable vitrine de l’ODJ, il offre un socle commun de connaissances actualisées annuellement et recense l’ensemble des publications des instances partenaires. Il vise également à développer la recherche dans une perspective populationnelle et multidimensionnelle, en contraste avec une approche individuelle ou une approche centrée sur la pathologie. Enfin, il constitue un outil d’aide à la décision précieux pour éclairer et orienter l’action de l’Etat et soutenir ainsi la prévention des comportements de jeu à risque.</w:t>
      </w:r>
    </w:p>
    <w:p w:rsidR="001E323A" w:rsidRDefault="003F2B53" w:rsidP="00A45531">
      <w:pPr>
        <w:jc w:val="both"/>
      </w:pPr>
      <w:r>
        <w:t xml:space="preserve">Son contenu et sa mise à jour régulière </w:t>
      </w:r>
      <w:r w:rsidR="000F17FA">
        <w:t>lui ont permis de trouver une certaine audience comme en témoignent les</w:t>
      </w:r>
      <w:r>
        <w:t xml:space="preserve"> statistiques de fréquentation </w:t>
      </w:r>
      <w:r w:rsidR="000F17FA">
        <w:t>modest</w:t>
      </w:r>
      <w:r w:rsidR="006460FF">
        <w:t>es mais significatives si on p</w:t>
      </w:r>
      <w:r w:rsidR="000F17FA">
        <w:t>rend en compte le fait que ceci est fait avec les seuls moyens limités de l’ODJ, sans aide extérieure</w:t>
      </w:r>
      <w:r w:rsidR="006460FF">
        <w:t xml:space="preserve">. </w:t>
      </w:r>
    </w:p>
    <w:p w:rsidR="00E170A2" w:rsidRDefault="00E170A2" w:rsidP="00E74F74">
      <w:r>
        <w:rPr>
          <w:noProof/>
        </w:rPr>
        <w:drawing>
          <wp:inline distT="0" distB="0" distL="0" distR="0" wp14:anchorId="16ACF4F0" wp14:editId="043D56D6">
            <wp:extent cx="2734071" cy="1373928"/>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5150" cy="1374470"/>
                    </a:xfrm>
                    <a:prstGeom prst="rect">
                      <a:avLst/>
                    </a:prstGeom>
                    <a:noFill/>
                  </pic:spPr>
                </pic:pic>
              </a:graphicData>
            </a:graphic>
          </wp:inline>
        </w:drawing>
      </w:r>
    </w:p>
    <w:p w:rsidR="001E323A" w:rsidRDefault="001E323A" w:rsidP="001E323A">
      <w:pPr>
        <w:pStyle w:val="Titre4"/>
      </w:pPr>
      <w:r>
        <w:t>Indicateurs</w:t>
      </w:r>
    </w:p>
    <w:p w:rsidR="001E323A" w:rsidRDefault="001E323A" w:rsidP="00A45531">
      <w:pPr>
        <w:jc w:val="both"/>
      </w:pPr>
      <w:r>
        <w:lastRenderedPageBreak/>
        <w:t>Dans le cadre de conventions passées avec les opérateurs de jeu et les différentes instances associées, l’Observatoire collecte annuellement l’ensemble des données liées à l’industrie des jeux d’argent et de hasard afin de fournir un portrait actualisé de la consommation, des pratiques et de l’offre de jeu sur le territoire national. Les données d’enquête viennent compléter ce dispositif de monitorage en fournissant le détail sur</w:t>
      </w:r>
      <w:r w:rsidR="00A80571">
        <w:t xml:space="preserve"> </w:t>
      </w:r>
      <w:r>
        <w:t>prévalences de jeu, sur la façon dont les individus pratiquent cette activité (multi-activité, fréquence et intensité des dépenses, utilisation du support Internet) et donnent la mesure des individus aux prises avec des problèmes de jeu via l’outil clinique de l’Indice Canadien du Jeu Excessif (ICJE).</w:t>
      </w:r>
    </w:p>
    <w:p w:rsidR="001E323A" w:rsidRDefault="001E323A" w:rsidP="007667B3">
      <w:pPr>
        <w:jc w:val="both"/>
      </w:pPr>
      <w:r>
        <w:t>Chaque année, l’Observatoire met à dispositions de nombreux indicateurs sur l’état du marché des jeux d’argent et de hasard en suivant le modèle de monitorage qu’il s’est fixé (voir précédemment, partie « monitorage »)</w:t>
      </w:r>
    </w:p>
    <w:p w:rsidR="001E323A" w:rsidRDefault="001E323A" w:rsidP="001E323A">
      <w:pPr>
        <w:pStyle w:val="Titre4"/>
      </w:pPr>
      <w:r>
        <w:t>Portraits de territoire : l’atlas de l’observatoire des jeux</w:t>
      </w:r>
    </w:p>
    <w:p w:rsidR="001E323A" w:rsidRDefault="001E323A" w:rsidP="00A45531">
      <w:pPr>
        <w:jc w:val="both"/>
      </w:pPr>
      <w:r>
        <w:t xml:space="preserve">Pour compléter son activité de monitorage et de partage de l’information, l’ODJ a </w:t>
      </w:r>
      <w:r w:rsidR="00AE46AC">
        <w:t>élaboré</w:t>
      </w:r>
      <w:r>
        <w:t xml:space="preserve"> un atlas permettant à n’importe quel internaute de connaitre localement le niveau d’offre et de pratique de jeu et de le mettre au regard du territoire national. A partir d’une carte interactive hébergée sur le site, l’intéressé a la possibilité en cliquant sur la zone géographique désirée, de télécharger un fichier de données fournissant un portrait de territoire pour l’année en cours.</w:t>
      </w:r>
    </w:p>
    <w:p w:rsidR="001E323A" w:rsidRDefault="001E323A" w:rsidP="00A45531">
      <w:pPr>
        <w:jc w:val="both"/>
      </w:pPr>
      <w:r>
        <w:t>Les données présentées s’appuient sur deux sources :</w:t>
      </w:r>
    </w:p>
    <w:p w:rsidR="001E323A" w:rsidRDefault="001E323A" w:rsidP="00A45531">
      <w:pPr>
        <w:pStyle w:val="Listepuces"/>
        <w:jc w:val="both"/>
      </w:pPr>
      <w:r>
        <w:t>Les rapports d’activités d’opérateurs et des instances associées ;</w:t>
      </w:r>
    </w:p>
    <w:p w:rsidR="001E323A" w:rsidRDefault="001E323A" w:rsidP="00A45531">
      <w:pPr>
        <w:pStyle w:val="Listepuces"/>
        <w:jc w:val="both"/>
      </w:pPr>
      <w:r>
        <w:t>Les données issues des enquêtes en population générale.</w:t>
      </w:r>
    </w:p>
    <w:p w:rsidR="001E323A" w:rsidRDefault="001E323A" w:rsidP="00A45531">
      <w:pPr>
        <w:jc w:val="both"/>
      </w:pPr>
      <w:r>
        <w:t>Ces sources permettent de qualifier à un niveau départemental et régional l’offre, le niveau de pratique ainsi que la prévalence de joueurs et de les mettre au regard de la situation nationale.</w:t>
      </w:r>
    </w:p>
    <w:p w:rsidR="001E323A" w:rsidRDefault="001E323A" w:rsidP="00A45531">
      <w:pPr>
        <w:jc w:val="both"/>
      </w:pPr>
      <w:r>
        <w:t>Cet Atlas devrait être mis en ligne en mars 2016.</w:t>
      </w:r>
    </w:p>
    <w:p w:rsidR="001E323A" w:rsidRDefault="001E323A" w:rsidP="001E323A">
      <w:pPr>
        <w:pStyle w:val="Titre4"/>
      </w:pPr>
      <w:r>
        <w:t>Veille législative</w:t>
      </w:r>
    </w:p>
    <w:p w:rsidR="001E323A" w:rsidRDefault="001E323A" w:rsidP="00A45531">
      <w:pPr>
        <w:jc w:val="both"/>
      </w:pPr>
      <w:r>
        <w:t xml:space="preserve">Dans le cadre de ses activités de documentation, l'ODJ produit chaque trimestre un </w:t>
      </w:r>
      <w:hyperlink r:id="rId28" w:history="1">
        <w:r w:rsidRPr="00BA0858">
          <w:rPr>
            <w:rStyle w:val="Lienhypertexte"/>
          </w:rPr>
          <w:t>bulletin de veille législative</w:t>
        </w:r>
      </w:hyperlink>
      <w:r>
        <w:t xml:space="preserve"> qui reprend et identifie les principales évolutions réglementaires. Pour plus de clarté, chaque texte est accompagné d’un résumé et de mots clés.</w:t>
      </w:r>
    </w:p>
    <w:p w:rsidR="001E323A" w:rsidRDefault="001E323A" w:rsidP="00AE46AC">
      <w:pPr>
        <w:pStyle w:val="Titre4"/>
      </w:pPr>
      <w:r>
        <w:t>Répondre aux sollicitations extérieures</w:t>
      </w:r>
    </w:p>
    <w:p w:rsidR="001E323A" w:rsidRPr="00AE46AC" w:rsidRDefault="001E323A" w:rsidP="00A45531">
      <w:pPr>
        <w:jc w:val="both"/>
      </w:pPr>
      <w:r>
        <w:t>Pour répondre au mieux aux sollicitations extérieures, l’Observatoire a mis en place une rubrique « Contact » laissant à l’internaute la possibilité de nous contacter pour toutes questions relatives aux jeux d’argent et de hasard. Les demandes sont multiples et émanent pour la plus plupart de structures intervenant dans le champ (associations, CSAPA) et de journalistes à la recherche d’information</w:t>
      </w:r>
      <w:r w:rsidR="00FE4DA1">
        <w:t>s</w:t>
      </w:r>
      <w:r>
        <w:t xml:space="preserve"> pour l’écriture d’un article ou pour solliciter une interview. Enfin, la possibilité est laissée aux internautes désireux de connaitre l’actualité de la recherche, de s’abonner au fil d’actualité de l’ODJ. Fin 2015, la liste de diffusion recense une centaine de courriels.</w:t>
      </w:r>
    </w:p>
    <w:p w:rsidR="00E74F74" w:rsidRPr="00AE46AC" w:rsidRDefault="00E74F74" w:rsidP="00E74F74">
      <w:pPr>
        <w:pStyle w:val="Titre4"/>
      </w:pPr>
      <w:r w:rsidRPr="00AE46AC">
        <w:t>Actualités et manifestations de la recherche</w:t>
      </w:r>
    </w:p>
    <w:p w:rsidR="00E74F74" w:rsidRPr="00AE46AC" w:rsidRDefault="00E74F74" w:rsidP="00A45531">
      <w:pPr>
        <w:jc w:val="both"/>
      </w:pPr>
      <w:r w:rsidRPr="00AE46AC">
        <w:t>Le site rassemble et diffuse au plus grand nombre l’ensemble des évènements et manifestations liés au champ de recherche des jeux d’argent et de hasard.</w:t>
      </w:r>
    </w:p>
    <w:p w:rsidR="00E74F74" w:rsidRPr="00AE46AC" w:rsidRDefault="00AE46AC" w:rsidP="00A45531">
      <w:pPr>
        <w:jc w:val="both"/>
      </w:pPr>
      <w:r w:rsidRPr="00AE46AC">
        <w:t>On peut ainsi citer p</w:t>
      </w:r>
      <w:r w:rsidR="00E74F74" w:rsidRPr="00AE46AC">
        <w:t xml:space="preserve">lusieurs manifestations </w:t>
      </w:r>
      <w:r w:rsidRPr="00AE46AC">
        <w:t xml:space="preserve">qui </w:t>
      </w:r>
      <w:r w:rsidR="00E74F74" w:rsidRPr="00AE46AC">
        <w:t>se sont déroulées au cours de l’année 2015 avec le concours de l’Observatoire des jeux :</w:t>
      </w:r>
    </w:p>
    <w:p w:rsidR="00E74F74" w:rsidRPr="00AE46AC" w:rsidRDefault="00592F26" w:rsidP="00A45531">
      <w:pPr>
        <w:pStyle w:val="Listepuces"/>
        <w:jc w:val="both"/>
      </w:pPr>
      <w:hyperlink r:id="rId29" w:history="1">
        <w:r w:rsidR="00E170A2" w:rsidRPr="009D3C76">
          <w:rPr>
            <w:rStyle w:val="Lienhypertexte"/>
          </w:rPr>
          <w:t>Conférence du Dr Ingo FIEDLER</w:t>
        </w:r>
      </w:hyperlink>
      <w:r w:rsidR="00E170A2" w:rsidRPr="00AE46AC">
        <w:t xml:space="preserve"> </w:t>
      </w:r>
      <w:r w:rsidR="00E74F74" w:rsidRPr="00AE46AC">
        <w:t>sur le thème de la régulation des jeux d’argent et de hasard en ligne</w:t>
      </w:r>
    </w:p>
    <w:p w:rsidR="00E74F74" w:rsidRPr="00AE46AC" w:rsidRDefault="00592F26" w:rsidP="00A45531">
      <w:pPr>
        <w:pStyle w:val="Listepuces"/>
        <w:jc w:val="both"/>
      </w:pPr>
      <w:hyperlink r:id="rId30" w:history="1">
        <w:r w:rsidR="00E170A2" w:rsidRPr="008E4118">
          <w:rPr>
            <w:rStyle w:val="Lienhypertexte"/>
          </w:rPr>
          <w:t>Conférence sur les trajectoires de jeu</w:t>
        </w:r>
      </w:hyperlink>
      <w:r w:rsidR="00E170A2">
        <w:rPr>
          <w:rStyle w:val="Lienhypertexte"/>
        </w:rPr>
        <w:t xml:space="preserve"> </w:t>
      </w:r>
      <w:r w:rsidR="00E74F74" w:rsidRPr="00AE46AC">
        <w:t>et l’amélioration des modèles de prévention</w:t>
      </w:r>
      <w:r w:rsidR="00A80571">
        <w:t xml:space="preserve"> </w:t>
      </w:r>
      <w:r w:rsidR="00E74F74" w:rsidRPr="00AE46AC">
        <w:t>et d’intervention (Fonds de recherche du Québec)</w:t>
      </w:r>
    </w:p>
    <w:p w:rsidR="001E323A" w:rsidRDefault="001E323A" w:rsidP="00AE46AC">
      <w:pPr>
        <w:pStyle w:val="Titre4"/>
      </w:pPr>
      <w:r>
        <w:t>Mutualiser et partager les connaissances</w:t>
      </w:r>
    </w:p>
    <w:p w:rsidR="00E74F74" w:rsidRPr="00E74F74" w:rsidRDefault="001E323A" w:rsidP="00A45531">
      <w:pPr>
        <w:jc w:val="both"/>
      </w:pPr>
      <w:r>
        <w:t xml:space="preserve">Dans un souci de partage des connaissances et de diffusion de l’information, l’Observatoire recense l’ensemble des </w:t>
      </w:r>
      <w:hyperlink r:id="rId31" w:history="1">
        <w:r w:rsidRPr="00206535">
          <w:rPr>
            <w:rStyle w:val="Lienhypertexte"/>
          </w:rPr>
          <w:t>documents, sources d’information et rapports d’exploitation des différents acteurs présents sur ce secteur</w:t>
        </w:r>
      </w:hyperlink>
      <w:r>
        <w:t xml:space="preserve">. Les bilans d’activité issus des opérateurs, la comptabilité nationale de l’INSEE pour appréhender la place des dépenses dans le budget des ménages, les résultats d’exploitation de la ligne « Joueurs info service » ainsi que les données de supervision de l’ARJEL sont autant de documents consultables et téléchargeables mis à disposition des internautes. Un </w:t>
      </w:r>
      <w:hyperlink r:id="rId32" w:history="1">
        <w:r w:rsidRPr="00206535">
          <w:rPr>
            <w:rStyle w:val="Lienhypertexte"/>
          </w:rPr>
          <w:t>Glossaire</w:t>
        </w:r>
      </w:hyperlink>
      <w:r>
        <w:t xml:space="preserve"> définissant l’ensemble des termes relatifs aux jeux d’argent et de hasard vient étoffer ce dispositif. Enfin, la </w:t>
      </w:r>
      <w:hyperlink r:id="rId33" w:history="1">
        <w:r w:rsidRPr="00206535">
          <w:rPr>
            <w:rStyle w:val="Lienhypertexte"/>
          </w:rPr>
          <w:t>liste de l’ensemble des partenaires</w:t>
        </w:r>
      </w:hyperlink>
      <w:r>
        <w:t xml:space="preserve"> sur laquelle l’Observatoire s’appuie pour mener à bien ces missions, permet de visualiser l’ensemble des acteurs intervenant sur cette thématique.</w:t>
      </w:r>
    </w:p>
    <w:p w:rsidR="000E4E64" w:rsidRDefault="000E4E64" w:rsidP="00412B89">
      <w:pPr>
        <w:pStyle w:val="Titre2"/>
      </w:pPr>
      <w:bookmarkStart w:id="26" w:name="_Toc317963418"/>
      <w:r>
        <w:t>Expertises</w:t>
      </w:r>
      <w:bookmarkEnd w:id="26"/>
    </w:p>
    <w:p w:rsidR="000E4E64" w:rsidRDefault="000E4E64" w:rsidP="000E4E64">
      <w:pPr>
        <w:pStyle w:val="Titre3"/>
      </w:pPr>
      <w:bookmarkStart w:id="27" w:name="_Toc317963419"/>
      <w:r>
        <w:t>Cojex</w:t>
      </w:r>
      <w:bookmarkEnd w:id="27"/>
    </w:p>
    <w:p w:rsidR="00A068E4" w:rsidRDefault="00A068E4" w:rsidP="00A45531">
      <w:pPr>
        <w:jc w:val="both"/>
      </w:pPr>
      <w:r>
        <w:t>L’ODJ participe activement aux travaux de la C</w:t>
      </w:r>
      <w:r w:rsidRPr="00D46776">
        <w:t>ommission consultative des jeux et paris sous droits exclusifs</w:t>
      </w:r>
      <w:r>
        <w:t xml:space="preserve"> (COJEX) et a été amené à faire certaines analyses spécifiques à partir de ses données et à apporter son expertise, notamment sur les questions techniques relatives aux études ou rapports présentés par les opérateurs devant la commission. </w:t>
      </w:r>
    </w:p>
    <w:p w:rsidR="00664F4E" w:rsidRDefault="00664F4E" w:rsidP="00A45531">
      <w:pPr>
        <w:jc w:val="both"/>
      </w:pPr>
      <w:r>
        <w:t xml:space="preserve">Suivant une recommandation de la COJEX, le Secrétaire d’Etat au Budget a demandé à la FDJ de soumettre deux projets d’études « jeu responsable » pour avis à l’ODJ. La FDJ a présenté ces projets à l’ODJ lors de sa séance du 29 septembre 2015. </w:t>
      </w:r>
    </w:p>
    <w:p w:rsidR="00664F4E" w:rsidRDefault="00664F4E" w:rsidP="00A45531">
      <w:pPr>
        <w:jc w:val="both"/>
      </w:pPr>
      <w:r>
        <w:t>L’étude sur le jeu Cash/Multiplicator vise à :</w:t>
      </w:r>
    </w:p>
    <w:p w:rsidR="00664F4E" w:rsidRDefault="00664F4E" w:rsidP="00A45531">
      <w:pPr>
        <w:pStyle w:val="Listepuces"/>
        <w:numPr>
          <w:ilvl w:val="0"/>
          <w:numId w:val="0"/>
        </w:numPr>
        <w:ind w:left="357"/>
        <w:jc w:val="both"/>
      </w:pPr>
      <w:r>
        <w:t>•</w:t>
      </w:r>
      <w:r>
        <w:tab/>
      </w:r>
      <w:r w:rsidR="00FE4DA1">
        <w:t>é</w:t>
      </w:r>
      <w:r>
        <w:t>valuer le niveau de risque des joueurs de jeux de grattage dans leur ensemble, le profil des joueurs problématiques et leurs comportements de jeu (référentiel utilisé : ICJE)</w:t>
      </w:r>
      <w:r w:rsidR="00FE4DA1">
        <w:t> ;</w:t>
      </w:r>
    </w:p>
    <w:p w:rsidR="00664F4E" w:rsidRDefault="00664F4E" w:rsidP="00A45531">
      <w:pPr>
        <w:pStyle w:val="Listepuces"/>
        <w:numPr>
          <w:ilvl w:val="0"/>
          <w:numId w:val="0"/>
        </w:numPr>
        <w:ind w:left="357"/>
        <w:jc w:val="both"/>
      </w:pPr>
      <w:r>
        <w:t>•</w:t>
      </w:r>
      <w:r>
        <w:tab/>
      </w:r>
      <w:r w:rsidR="00FE4DA1">
        <w:t>é</w:t>
      </w:r>
      <w:r>
        <w:t>valuer spécifiquement le niveau de risque des joueurs de Cash et de Multiplicator, le profil des joueurs problématiques à ces jeux et leurs comportements de jeu (référentiel utilisé : ICJE)</w:t>
      </w:r>
    </w:p>
    <w:p w:rsidR="00664F4E" w:rsidRDefault="00664F4E" w:rsidP="00A45531">
      <w:pPr>
        <w:jc w:val="both"/>
      </w:pPr>
      <w:r>
        <w:t>L’étude sera basée sur une enquête quantitative téléphonique réalisée par TNS Sofres dans le cadre du Baromètre marché et clients, réalisé annuellement. L’échantillon sera composé, d’une part, par le recrutement téléphonique de 2000 joueurs de grattage et, d’autre part, par le recrutement online de 400 joueurs de Multiplicator. Outre l’évaluation des niveaux de risque pour les différents jeux, l’analyse portera plus spécifiquement sur les facteurs de risque de jeu problématique propres aux jeux Cash et Multiplicator.</w:t>
      </w:r>
    </w:p>
    <w:p w:rsidR="00664F4E" w:rsidRDefault="00664F4E" w:rsidP="00A45531">
      <w:pPr>
        <w:jc w:val="both"/>
      </w:pPr>
      <w:r>
        <w:t>Sur la nouvelle gamme de jeux Motors, la FDJ propose de dresser un bilan après 6 mois de fonctionnement basé sur les indicateurs suivants :</w:t>
      </w:r>
    </w:p>
    <w:p w:rsidR="00664F4E" w:rsidRDefault="00664F4E" w:rsidP="00A45531">
      <w:pPr>
        <w:pStyle w:val="Listepuces"/>
        <w:numPr>
          <w:ilvl w:val="0"/>
          <w:numId w:val="0"/>
        </w:numPr>
        <w:ind w:left="357"/>
        <w:jc w:val="both"/>
      </w:pPr>
      <w:r>
        <w:t>•</w:t>
      </w:r>
      <w:r>
        <w:tab/>
      </w:r>
      <w:r w:rsidR="00FE4DA1">
        <w:t>l</w:t>
      </w:r>
      <w:r>
        <w:t>’intensité de jeu : dépense mensuelle moyenne, dépense moyenne du 1er décille</w:t>
      </w:r>
      <w:r w:rsidR="00FE4DA1">
        <w:t> ;</w:t>
      </w:r>
    </w:p>
    <w:p w:rsidR="00664F4E" w:rsidRDefault="00664F4E" w:rsidP="00A45531">
      <w:pPr>
        <w:pStyle w:val="Listepuces"/>
        <w:numPr>
          <w:ilvl w:val="0"/>
          <w:numId w:val="0"/>
        </w:numPr>
        <w:ind w:left="357"/>
        <w:jc w:val="both"/>
      </w:pPr>
      <w:r>
        <w:t>•</w:t>
      </w:r>
      <w:r>
        <w:tab/>
      </w:r>
      <w:r w:rsidR="00FE4DA1">
        <w:t>l</w:t>
      </w:r>
      <w:r>
        <w:t>e bassin de joueurs : nombre de joueurs par mois</w:t>
      </w:r>
      <w:r w:rsidR="00FE4DA1">
        <w:t> ;</w:t>
      </w:r>
    </w:p>
    <w:p w:rsidR="00664F4E" w:rsidRDefault="00664F4E" w:rsidP="00A45531">
      <w:pPr>
        <w:pStyle w:val="Listepuces"/>
        <w:numPr>
          <w:ilvl w:val="0"/>
          <w:numId w:val="0"/>
        </w:numPr>
        <w:ind w:left="357"/>
        <w:jc w:val="both"/>
      </w:pPr>
      <w:r>
        <w:t>•</w:t>
      </w:r>
      <w:r>
        <w:tab/>
      </w:r>
      <w:r w:rsidR="00FE4DA1">
        <w:t>l</w:t>
      </w:r>
      <w:r>
        <w:t>’origine des joueurs : expérience antérieure ILLIKO</w:t>
      </w:r>
      <w:r w:rsidR="00FE4DA1">
        <w:t> ;</w:t>
      </w:r>
    </w:p>
    <w:p w:rsidR="00664F4E" w:rsidRDefault="00664F4E" w:rsidP="00A45531">
      <w:pPr>
        <w:pStyle w:val="Listepuces"/>
        <w:numPr>
          <w:ilvl w:val="0"/>
          <w:numId w:val="0"/>
        </w:numPr>
        <w:ind w:left="357"/>
        <w:jc w:val="both"/>
      </w:pPr>
      <w:r>
        <w:t>•</w:t>
      </w:r>
      <w:r>
        <w:tab/>
      </w:r>
      <w:r w:rsidR="00FE4DA1">
        <w:t>l</w:t>
      </w:r>
      <w:r>
        <w:t>a durée : nombre de parties et durée d’une session de jeu</w:t>
      </w:r>
      <w:r w:rsidR="00FE4DA1">
        <w:t> ;</w:t>
      </w:r>
    </w:p>
    <w:p w:rsidR="00664F4E" w:rsidRDefault="00664F4E" w:rsidP="00A45531">
      <w:pPr>
        <w:pStyle w:val="Listepuces"/>
        <w:numPr>
          <w:ilvl w:val="0"/>
          <w:numId w:val="0"/>
        </w:numPr>
        <w:ind w:left="357"/>
        <w:jc w:val="both"/>
      </w:pPr>
      <w:r>
        <w:t>•</w:t>
      </w:r>
      <w:r>
        <w:tab/>
      </w:r>
      <w:r w:rsidR="00FE4DA1">
        <w:t>l</w:t>
      </w:r>
      <w:r>
        <w:t>a fidélisation : taux de rétention ou d’abandon</w:t>
      </w:r>
      <w:r w:rsidR="00FE4DA1">
        <w:t>.</w:t>
      </w:r>
    </w:p>
    <w:p w:rsidR="00664F4E" w:rsidRDefault="003D138E" w:rsidP="00A45531">
      <w:pPr>
        <w:jc w:val="both"/>
      </w:pPr>
      <w:r>
        <w:t>Au sujet de ces deux projets d’étude, l’ODJ a émis l’avis suivant.</w:t>
      </w:r>
    </w:p>
    <w:p w:rsidR="00664F4E" w:rsidRDefault="003D138E" w:rsidP="00A45531">
      <w:pPr>
        <w:jc w:val="both"/>
      </w:pPr>
      <w:r>
        <w:t>En ce qui concerne l’é</w:t>
      </w:r>
      <w:r w:rsidR="00664F4E">
        <w:t xml:space="preserve">tude </w:t>
      </w:r>
      <w:r>
        <w:t>« </w:t>
      </w:r>
      <w:r w:rsidR="00664F4E">
        <w:t>Cash/Multiplicator</w:t>
      </w:r>
      <w:r>
        <w:t> », l</w:t>
      </w:r>
      <w:r w:rsidR="00664F4E">
        <w:t>es objectifs et la méthodologie déployée pour les atteindre sont pertinents et robustes.</w:t>
      </w:r>
      <w:r>
        <w:t xml:space="preserve"> </w:t>
      </w:r>
      <w:r w:rsidR="00664F4E">
        <w:t>Ils permettront de répondre aux attentes de la tutelle.</w:t>
      </w:r>
      <w:r>
        <w:t xml:space="preserve"> Il conviendrait toutefois de :</w:t>
      </w:r>
    </w:p>
    <w:p w:rsidR="00664F4E" w:rsidRDefault="00664F4E" w:rsidP="00A45531">
      <w:pPr>
        <w:pStyle w:val="Listepuces"/>
        <w:jc w:val="both"/>
      </w:pPr>
      <w:r>
        <w:lastRenderedPageBreak/>
        <w:t>bien préciser la typologie des groupes de joueurs qui seront pris en compte dans l’analyse. Ces groupes doivent être exclusifs l’un de l’autre (ce qui n’est pas le cas dans le tableau page 7 du document où la catégorie joueurs de grattage inclut les joueurs de Cash ou Multiplicator) ; un joueur doit être classé dans l’un ou l’autre groupe mais pas dans les deux</w:t>
      </w:r>
      <w:r w:rsidR="006864D5">
        <w:t> ;</w:t>
      </w:r>
      <w:r>
        <w:t xml:space="preserve"> </w:t>
      </w:r>
    </w:p>
    <w:p w:rsidR="00664F4E" w:rsidRDefault="003D138E" w:rsidP="00A45531">
      <w:pPr>
        <w:pStyle w:val="Listepuces"/>
        <w:jc w:val="both"/>
      </w:pPr>
      <w:r>
        <w:t>Intégrer dans l’exploitation les</w:t>
      </w:r>
      <w:r w:rsidR="00664F4E">
        <w:t xml:space="preserve"> deux analyses suivantes</w:t>
      </w:r>
      <w:r>
        <w:t xml:space="preserve"> </w:t>
      </w:r>
      <w:r w:rsidR="00664F4E">
        <w:t>: joueurs de Multiplicator vs joueurs d’autres jeux de grattage hors Multiplicator ; joueurs de jeux à 5€ et plus vs joueurs d’autres jeux de grattage hors jeux de 5€ et plus</w:t>
      </w:r>
      <w:r w:rsidR="006864D5">
        <w:t>.</w:t>
      </w:r>
    </w:p>
    <w:p w:rsidR="00664F4E" w:rsidRDefault="00664F4E" w:rsidP="00A45531">
      <w:pPr>
        <w:jc w:val="both"/>
      </w:pPr>
      <w:r>
        <w:t>La formulation des questions est un point important. L’ODJ prend acte de la proposition de la FDJ de l’associer sur ce sujet.</w:t>
      </w:r>
      <w:r w:rsidR="003D138E">
        <w:t xml:space="preserve"> </w:t>
      </w:r>
      <w:r>
        <w:t>L’étude devrait être complété par une analyse rétrospective (sur les dernières années) de l’évolution du chiffre d’affaire respectif des jeux de grattage de moins et de plus de 5€.</w:t>
      </w:r>
    </w:p>
    <w:p w:rsidR="00664F4E" w:rsidRDefault="00664F4E" w:rsidP="00A45531">
      <w:pPr>
        <w:jc w:val="both"/>
      </w:pPr>
      <w:r>
        <w:t xml:space="preserve">L’ODJ trouve tout à fait satisfaisant le bilan statistique que propose de faire la FDJ six mois après l’ouverture de </w:t>
      </w:r>
      <w:r w:rsidR="001F1ACE">
        <w:t>des</w:t>
      </w:r>
      <w:r>
        <w:t xml:space="preserve"> jeux</w:t>
      </w:r>
      <w:r w:rsidR="001F1ACE">
        <w:t xml:space="preserve"> « Motors »</w:t>
      </w:r>
      <w:r>
        <w:t>, en faisant les observations suivantes :</w:t>
      </w:r>
    </w:p>
    <w:p w:rsidR="00664F4E" w:rsidRDefault="00664F4E" w:rsidP="00A45531">
      <w:pPr>
        <w:pStyle w:val="Listepuces"/>
        <w:numPr>
          <w:ilvl w:val="0"/>
          <w:numId w:val="0"/>
        </w:numPr>
        <w:ind w:left="357"/>
        <w:jc w:val="both"/>
      </w:pPr>
      <w:r>
        <w:t>•</w:t>
      </w:r>
      <w:r>
        <w:tab/>
        <w:t>Bien prendre en compte les problématiques de durée car le facteur temps est important dans la survenue de difficultés avec ce type de jeu.</w:t>
      </w:r>
    </w:p>
    <w:p w:rsidR="00664F4E" w:rsidRDefault="00664F4E" w:rsidP="00A45531">
      <w:pPr>
        <w:pStyle w:val="Listepuces"/>
        <w:numPr>
          <w:ilvl w:val="0"/>
          <w:numId w:val="0"/>
        </w:numPr>
        <w:ind w:left="357"/>
        <w:jc w:val="both"/>
      </w:pPr>
      <w:r>
        <w:t>•</w:t>
      </w:r>
      <w:r>
        <w:tab/>
        <w:t>L’intensité de jeu pourrait être aussi documentée par des tableaux (et courbes) de concentration (déciles du nombre de joueurs X déciles des mises cumulées) et un indice de Gini.</w:t>
      </w:r>
    </w:p>
    <w:p w:rsidR="00664F4E" w:rsidRDefault="00664F4E" w:rsidP="00A45531">
      <w:pPr>
        <w:pStyle w:val="Listepuces"/>
        <w:numPr>
          <w:ilvl w:val="0"/>
          <w:numId w:val="0"/>
        </w:numPr>
        <w:ind w:left="357"/>
        <w:jc w:val="both"/>
      </w:pPr>
      <w:r>
        <w:t>•</w:t>
      </w:r>
      <w:r>
        <w:tab/>
        <w:t>Il serait intéressant de documenter la part de marché de ces jeux par rapport à l’ensemble des jeux de grattage en ligne.</w:t>
      </w:r>
    </w:p>
    <w:p w:rsidR="00664F4E" w:rsidRDefault="00664F4E" w:rsidP="00A45531">
      <w:pPr>
        <w:jc w:val="both"/>
      </w:pPr>
      <w:r>
        <w:t>Le développement de cette nouvelle gamme de jeux, un des points clefs de la stratégie 2020 de la FDJ, s’inscrit dans une tendance globale de « gamification » des jeux de hasard dont nous ne mesurons pas encore les potentiels impacts en termes d’addiction. La démarche dite « test and learn » est opportune. Elle ne doit pas se réduire à ce seul bilan statistique. L’ODJ émet des réserves sur un développement précipité de ce type de jeux.</w:t>
      </w:r>
    </w:p>
    <w:p w:rsidR="00664F4E" w:rsidRDefault="00664F4E" w:rsidP="00A45531">
      <w:pPr>
        <w:jc w:val="both"/>
      </w:pPr>
      <w:r>
        <w:t>Ces nouveaux jeux innovants, basés sur une scénarisation poussée du jeu, peuvent induire dans leur perception une distorsion cognitive : la fausse croyance qu’il pourrait s’agir de jeu de stratégie alors que le mécanisme est basé à 100% sur le hasard (le seul choix laissé étant celui de la prise de risque dans l’espérance d’un plus grand gain). Il conviendrait à cet égard que la FDJ ne se prête pas à cette distorsion en communiquant sur la dimension « stratégique » de ces jeux.</w:t>
      </w:r>
    </w:p>
    <w:p w:rsidR="00664F4E" w:rsidRDefault="00664F4E" w:rsidP="00A45531">
      <w:pPr>
        <w:jc w:val="both"/>
      </w:pPr>
      <w:r>
        <w:t>D’autre part, la « gamification » peut ajouter une dimension au risque inhérent aux jeux d’argent avec le paramètre du temps consacré à ces activités.</w:t>
      </w:r>
    </w:p>
    <w:p w:rsidR="00664F4E" w:rsidRDefault="00664F4E" w:rsidP="00A45531">
      <w:pPr>
        <w:jc w:val="both"/>
      </w:pPr>
      <w:r>
        <w:t>Un second temps d’étude serait nécessaire avant de prévoir une montée en charge de cette nouvelle gamme. Il s’agirait d’analyser les comportements spécifiques à ces nouvelles activités. Cela pourrait passer notamment par une enquête (online) ad-hoc auprès des pratiquants à ces jeux, réalisée par l’ODJ avec l’aide de la FDJ en matière de recrutement des joueurs participants à l’enquête.</w:t>
      </w:r>
    </w:p>
    <w:p w:rsidR="000E4E64" w:rsidRDefault="000E4E64" w:rsidP="000E4E64">
      <w:pPr>
        <w:pStyle w:val="Titre3"/>
      </w:pPr>
      <w:bookmarkStart w:id="28" w:name="_Toc317963420"/>
      <w:r>
        <w:t xml:space="preserve">Guide de </w:t>
      </w:r>
      <w:r w:rsidR="00C05C78">
        <w:t xml:space="preserve">la </w:t>
      </w:r>
      <w:r>
        <w:t>Fédération addiction</w:t>
      </w:r>
      <w:bookmarkEnd w:id="28"/>
    </w:p>
    <w:p w:rsidR="001D06DF" w:rsidRDefault="001D06DF" w:rsidP="00A45531">
      <w:pPr>
        <w:jc w:val="both"/>
      </w:pPr>
      <w:r>
        <w:t>La Fédération Addiction a lancé le projet de publier un guide pratique sur la prise en charge des addictions sans substance incluant les jeux d’argent et de hasard. L’objectif de ce projet était :</w:t>
      </w:r>
    </w:p>
    <w:p w:rsidR="001D06DF" w:rsidRPr="001D06DF" w:rsidRDefault="006864D5" w:rsidP="00A45531">
      <w:pPr>
        <w:pStyle w:val="Listepuces"/>
        <w:jc w:val="both"/>
      </w:pPr>
      <w:r>
        <w:t>i</w:t>
      </w:r>
      <w:r w:rsidR="001D06DF">
        <w:t xml:space="preserve">dentifier les modalités de prise en </w:t>
      </w:r>
      <w:r w:rsidR="001D06DF" w:rsidRPr="001D06DF">
        <w:t>charge et le profil des usagers ayant une addiction comportementale (jeu pathologique, cyberaddiction, achat compulsif, etc</w:t>
      </w:r>
      <w:r w:rsidR="00A80571">
        <w:t>...</w:t>
      </w:r>
      <w:r w:rsidR="001D06DF" w:rsidRPr="001D06DF">
        <w:t>) accueilli</w:t>
      </w:r>
      <w:r>
        <w:t>s</w:t>
      </w:r>
      <w:r w:rsidR="001D06DF" w:rsidRPr="001D06DF">
        <w:t xml:space="preserve"> et suivi </w:t>
      </w:r>
      <w:r>
        <w:t>s</w:t>
      </w:r>
      <w:r w:rsidR="001D06DF" w:rsidRPr="001D06DF">
        <w:t>dans le dispositif médico-social en addictologie</w:t>
      </w:r>
      <w:r>
        <w:t> ;</w:t>
      </w:r>
    </w:p>
    <w:p w:rsidR="001D06DF" w:rsidRPr="001D06DF" w:rsidRDefault="006864D5" w:rsidP="00A45531">
      <w:pPr>
        <w:pStyle w:val="Listepuces"/>
        <w:jc w:val="both"/>
      </w:pPr>
      <w:r>
        <w:t>é</w:t>
      </w:r>
      <w:r w:rsidR="001D06DF" w:rsidRPr="001D06DF">
        <w:t>valuer les besoins et les ressources du dispositif sur cette thématique</w:t>
      </w:r>
      <w:r>
        <w:t> ;</w:t>
      </w:r>
    </w:p>
    <w:p w:rsidR="001D06DF" w:rsidRDefault="006864D5" w:rsidP="00A45531">
      <w:pPr>
        <w:pStyle w:val="Listepuces"/>
        <w:jc w:val="both"/>
      </w:pPr>
      <w:r>
        <w:t>v</w:t>
      </w:r>
      <w:r w:rsidR="001D06DF" w:rsidRPr="001D06DF">
        <w:t xml:space="preserve">aloriser et </w:t>
      </w:r>
      <w:r>
        <w:t>f</w:t>
      </w:r>
      <w:r w:rsidR="001D06DF" w:rsidRPr="001D06DF">
        <w:t>ormaliser dans un document</w:t>
      </w:r>
      <w:r w:rsidR="001D06DF">
        <w:t xml:space="preserve"> </w:t>
      </w:r>
      <w:r w:rsidR="009877E6">
        <w:t>pratique</w:t>
      </w:r>
      <w:r w:rsidR="001D06DF">
        <w:t xml:space="preserve"> les éléments </w:t>
      </w:r>
      <w:r w:rsidR="009877E6">
        <w:t>qui ressortent du terrain et les cadres possibles</w:t>
      </w:r>
      <w:r w:rsidR="001D06DF">
        <w:t xml:space="preserve"> des interventions à conduire pour adapter les pratiques professionnelles dans les </w:t>
      </w:r>
      <w:r w:rsidR="009877E6" w:rsidRPr="009877E6">
        <w:t xml:space="preserve">Centres de </w:t>
      </w:r>
      <w:r w:rsidR="009877E6" w:rsidRPr="009877E6">
        <w:lastRenderedPageBreak/>
        <w:t>Soins d’Accompagnement et de Prévention en Addictologie</w:t>
      </w:r>
      <w:r w:rsidR="009877E6">
        <w:t xml:space="preserve"> (</w:t>
      </w:r>
      <w:r w:rsidR="001D06DF">
        <w:t>CSPAPA</w:t>
      </w:r>
      <w:r w:rsidR="009877E6">
        <w:t>)</w:t>
      </w:r>
      <w:r w:rsidR="001D06DF">
        <w:t xml:space="preserve"> concernant les addictions comportementales.</w:t>
      </w:r>
    </w:p>
    <w:p w:rsidR="00F6718B" w:rsidRDefault="001D06DF" w:rsidP="00A45531">
      <w:pPr>
        <w:jc w:val="both"/>
      </w:pPr>
      <w:r>
        <w:t>L’élaboration de ce guide s’appuyait sur la réalisation d’une double enquête</w:t>
      </w:r>
      <w:r w:rsidR="009877E6">
        <w:t>, quantitative et qualitative, auprès des CSAPA.</w:t>
      </w:r>
    </w:p>
    <w:p w:rsidR="009877E6" w:rsidRPr="00F6718B" w:rsidRDefault="009877E6" w:rsidP="00A45531">
      <w:pPr>
        <w:jc w:val="both"/>
      </w:pPr>
      <w:r>
        <w:t>L’ODJ a participé au comité de pilotage du projet et a rédigé une contribution au guide qui a été publié en 2013.</w:t>
      </w:r>
    </w:p>
    <w:p w:rsidR="000E4E64" w:rsidRDefault="00C05C78" w:rsidP="00C05C78">
      <w:pPr>
        <w:pStyle w:val="Titre3"/>
      </w:pPr>
      <w:bookmarkStart w:id="29" w:name="_Toc317963421"/>
      <w:r>
        <w:t>Programme de prévention « bien joué</w:t>
      </w:r>
      <w:r w:rsidR="006864D5">
        <w:t>R</w:t>
      </w:r>
      <w:r>
        <w:t> » de la SEDAP</w:t>
      </w:r>
      <w:bookmarkEnd w:id="29"/>
    </w:p>
    <w:p w:rsidR="00317E7B" w:rsidRDefault="00317E7B" w:rsidP="00A45531">
      <w:pPr>
        <w:jc w:val="both"/>
      </w:pPr>
      <w:r>
        <w:t xml:space="preserve">La SEDAP, association gérant les principales structures de soin des addictions en Bourgogne est porteuse d’un projet d’expérimentation d’une action de prévention en milieu scolaire s’appuyant sur un manuel développé au Québec, le guide « Bien jouer ». </w:t>
      </w:r>
    </w:p>
    <w:p w:rsidR="00F46C9D" w:rsidRDefault="00317E7B" w:rsidP="00A45531">
      <w:pPr>
        <w:jc w:val="both"/>
      </w:pPr>
      <w:r>
        <w:t>L’o</w:t>
      </w:r>
      <w:r w:rsidR="00F46C9D">
        <w:t xml:space="preserve">bjectif général </w:t>
      </w:r>
      <w:r>
        <w:t>de l’action est de</w:t>
      </w:r>
      <w:r w:rsidR="00F46C9D">
        <w:t xml:space="preserve"> préparer et </w:t>
      </w:r>
      <w:r>
        <w:t>d’</w:t>
      </w:r>
      <w:r w:rsidR="00F46C9D">
        <w:t xml:space="preserve">éduquer les mineurs </w:t>
      </w:r>
      <w:r w:rsidR="006864D5">
        <w:t>à leur</w:t>
      </w:r>
      <w:r w:rsidR="00F46C9D">
        <w:t xml:space="preserve"> l'entrée à la majorité et donc </w:t>
      </w:r>
      <w:r w:rsidR="006864D5">
        <w:t>à</w:t>
      </w:r>
      <w:r w:rsidR="00F46C9D">
        <w:t xml:space="preserve"> la possibilité de jouer aux jeux d'argent et de hasard en minimisant les risques.</w:t>
      </w:r>
    </w:p>
    <w:p w:rsidR="00F46C9D" w:rsidRDefault="00317E7B" w:rsidP="00A45531">
      <w:pPr>
        <w:jc w:val="both"/>
      </w:pPr>
      <w:r>
        <w:t>Les o</w:t>
      </w:r>
      <w:r w:rsidR="00F46C9D">
        <w:t>bjectifs secondaires</w:t>
      </w:r>
      <w:r>
        <w:t xml:space="preserve"> sont </w:t>
      </w:r>
      <w:r w:rsidR="00F46C9D">
        <w:t>:</w:t>
      </w:r>
    </w:p>
    <w:p w:rsidR="00F46C9D" w:rsidRDefault="00F46C9D" w:rsidP="00A45531">
      <w:pPr>
        <w:pStyle w:val="Listepuces"/>
        <w:jc w:val="both"/>
      </w:pPr>
      <w:r>
        <w:t>augmenter les connaissances sur le hasard et les différents types de jeu</w:t>
      </w:r>
      <w:r w:rsidR="006864D5">
        <w:t> ;</w:t>
      </w:r>
    </w:p>
    <w:p w:rsidR="00F46C9D" w:rsidRDefault="00F46C9D" w:rsidP="00A45531">
      <w:pPr>
        <w:pStyle w:val="Listepuces"/>
        <w:jc w:val="both"/>
      </w:pPr>
      <w:r>
        <w:t>mieux comprendre les risques de ces activités (développer les capacités à résoudre un problème, développer les</w:t>
      </w:r>
      <w:r w:rsidR="00A80571">
        <w:t xml:space="preserve"> </w:t>
      </w:r>
      <w:r>
        <w:t>capacités à équilibrer la recherche du plaisir et la prise de risque)</w:t>
      </w:r>
      <w:r w:rsidR="006864D5">
        <w:t> ;</w:t>
      </w:r>
    </w:p>
    <w:p w:rsidR="00F46C9D" w:rsidRDefault="00F46C9D" w:rsidP="00A45531">
      <w:pPr>
        <w:pStyle w:val="Listepuces"/>
        <w:jc w:val="both"/>
      </w:pPr>
      <w:r>
        <w:t>identifier l'origine des influences (médias, publicités, parents...)</w:t>
      </w:r>
      <w:r w:rsidR="006864D5">
        <w:t>.</w:t>
      </w:r>
    </w:p>
    <w:p w:rsidR="00F46C9D" w:rsidRDefault="00EA667D" w:rsidP="00A45531">
      <w:pPr>
        <w:jc w:val="both"/>
      </w:pPr>
      <w:r>
        <w:t xml:space="preserve">Les activités proposés aux jeunes des classes </w:t>
      </w:r>
      <w:r w:rsidRPr="00EA667D">
        <w:t>de 1ere</w:t>
      </w:r>
      <w:r w:rsidR="00C01B13">
        <w:t>s STI2D du Lycée Eif</w:t>
      </w:r>
      <w:r w:rsidR="00E834EC">
        <w:t>f</w:t>
      </w:r>
      <w:r w:rsidR="00C01B13">
        <w:t>el de Dijon, sur les</w:t>
      </w:r>
      <w:r w:rsidRPr="00EA667D">
        <w:t xml:space="preserve"> temps d’accompagnement</w:t>
      </w:r>
      <w:r w:rsidR="00C01B13">
        <w:t xml:space="preserve"> personnalisé, cherchent à :</w:t>
      </w:r>
    </w:p>
    <w:p w:rsidR="00EA667D" w:rsidRPr="00EA667D" w:rsidRDefault="00EA667D" w:rsidP="00A45531">
      <w:pPr>
        <w:pStyle w:val="Listepuces"/>
        <w:jc w:val="both"/>
      </w:pPr>
      <w:r w:rsidRPr="00EA667D">
        <w:t>familiariser les participants aux concepts de probabilité et de hasard dans les jeux d'argent</w:t>
      </w:r>
      <w:r w:rsidR="006864D5">
        <w:t> ;</w:t>
      </w:r>
    </w:p>
    <w:p w:rsidR="00EA667D" w:rsidRPr="00EA667D" w:rsidRDefault="00EA667D" w:rsidP="00A45531">
      <w:pPr>
        <w:pStyle w:val="Listepuces"/>
        <w:jc w:val="both"/>
      </w:pPr>
      <w:r w:rsidRPr="00EA667D">
        <w:t>démystifier les fausses croyances associées au hasard</w:t>
      </w:r>
      <w:r w:rsidR="006864D5">
        <w:t> ;</w:t>
      </w:r>
    </w:p>
    <w:p w:rsidR="00EA667D" w:rsidRPr="00EA667D" w:rsidRDefault="00EA667D" w:rsidP="00A45531">
      <w:pPr>
        <w:pStyle w:val="Listepuces"/>
        <w:jc w:val="both"/>
      </w:pPr>
      <w:r w:rsidRPr="00EA667D">
        <w:t>exercer son jugement critique</w:t>
      </w:r>
      <w:r w:rsidR="006864D5">
        <w:t> ;</w:t>
      </w:r>
    </w:p>
    <w:p w:rsidR="00EA667D" w:rsidRPr="00EA667D" w:rsidRDefault="00EA667D" w:rsidP="00A45531">
      <w:pPr>
        <w:pStyle w:val="Listepuces"/>
        <w:jc w:val="both"/>
      </w:pPr>
      <w:r w:rsidRPr="00EA667D">
        <w:t>demande</w:t>
      </w:r>
      <w:r w:rsidR="00C01B13">
        <w:t>r</w:t>
      </w:r>
      <w:r w:rsidRPr="00EA667D">
        <w:t xml:space="preserve"> de l'aide</w:t>
      </w:r>
      <w:r w:rsidR="006864D5">
        <w:t> ;</w:t>
      </w:r>
    </w:p>
    <w:p w:rsidR="00EA667D" w:rsidRDefault="00EA667D" w:rsidP="00A45531">
      <w:pPr>
        <w:pStyle w:val="Listepuces"/>
        <w:jc w:val="both"/>
      </w:pPr>
      <w:r w:rsidRPr="00EA667D">
        <w:t>reconnaître les signes et attitudes qui sont présents lorsqu'une personne est aux prises avec des problèmes de jeu</w:t>
      </w:r>
      <w:r w:rsidR="006864D5">
        <w:t>.</w:t>
      </w:r>
    </w:p>
    <w:p w:rsidR="00F6718B" w:rsidRPr="00F6718B" w:rsidRDefault="00317E7B" w:rsidP="00A45531">
      <w:pPr>
        <w:jc w:val="both"/>
      </w:pPr>
      <w:r>
        <w:t>L’ODJ participe au comité de pilotage de cette expérimentation</w:t>
      </w:r>
      <w:r w:rsidR="00C01B13">
        <w:t xml:space="preserve"> et y apporte son expertise notamment en matière de conception d’enquête et de méthodologie d’évaluation. L’action fera en effet l’objet d’une évaluation qui tentera de mesurer son efficacité sur les perceptions et les représentations des jeunes vis-àvis des jeux d’argent.</w:t>
      </w:r>
    </w:p>
    <w:p w:rsidR="006516FE" w:rsidRDefault="001958F2" w:rsidP="001958F2">
      <w:pPr>
        <w:pStyle w:val="Titre3"/>
      </w:pPr>
      <w:bookmarkStart w:id="30" w:name="_Toc317963422"/>
      <w:r>
        <w:t>Evaluation du stage « misez sur vous » de l’IJE</w:t>
      </w:r>
      <w:bookmarkEnd w:id="30"/>
    </w:p>
    <w:p w:rsidR="001958F2" w:rsidRDefault="001958F2" w:rsidP="00A45531">
      <w:pPr>
        <w:jc w:val="both"/>
      </w:pPr>
      <w:r>
        <w:t>Sollicité pa</w:t>
      </w:r>
      <w:r w:rsidR="00E834EC">
        <w:t>r</w:t>
      </w:r>
      <w:r>
        <w:t xml:space="preserve"> l’IJE, au sujet du stage « misez sur vous » pour joueurs en difficulté organisé par cet organisme du 30 août au 3 septembre 2015, l’ODJ a coordonné un comité d’évaluation qui a entendu M. Perret et Navarro le 21 janvier 2016 et examiné deux documents bilan qui lui ont été soumis. Le comité a émis l’avis suivant.</w:t>
      </w:r>
    </w:p>
    <w:p w:rsidR="001958F2" w:rsidRDefault="001958F2" w:rsidP="00A45531">
      <w:pPr>
        <w:jc w:val="both"/>
      </w:pPr>
      <w:r>
        <w:t>Ce stage a réuni 8 joueurs en très grande difficulté avec leurs pratiques de différents</w:t>
      </w:r>
      <w:r w:rsidRPr="00662514">
        <w:t xml:space="preserve"> d</w:t>
      </w:r>
      <w:r>
        <w:t>omaines</w:t>
      </w:r>
      <w:r w:rsidRPr="00662514">
        <w:t xml:space="preserve"> de jeux d’argent.</w:t>
      </w:r>
      <w:r>
        <w:t xml:space="preserve"> Ces joueurs ont suivi de manière assidue un programme thérapeutique réfléchi mêlant une prise en charge principalement collective axée sur la réhabilitation psycho corporelle des joueurs associée à des entretiens individuels.</w:t>
      </w:r>
      <w:r w:rsidR="0035443E">
        <w:t xml:space="preserve"> </w:t>
      </w:r>
      <w:r>
        <w:t>Cette prise en charge a insisté par des ateliers spécifiques sur des déterminants clés constituant le cercle infernal du jeu pathologique, à savoir la perte d'estime de soi et la sensation d'impuissance à agir. Toutes les activités proposées dans ce stage conçu sur mesure visaient à extraire les participants de leurs pratiques excessives et à reconstruire de nouveaux projets de vie.</w:t>
      </w:r>
    </w:p>
    <w:p w:rsidR="001958F2" w:rsidRDefault="001958F2" w:rsidP="00A45531">
      <w:pPr>
        <w:jc w:val="both"/>
      </w:pPr>
      <w:r>
        <w:lastRenderedPageBreak/>
        <w:t>Les éléments d’évaluation recueillis permettent de dire que :</w:t>
      </w:r>
    </w:p>
    <w:p w:rsidR="001958F2" w:rsidRDefault="006864D5" w:rsidP="00A45531">
      <w:pPr>
        <w:pStyle w:val="Listepuces"/>
        <w:jc w:val="both"/>
      </w:pPr>
      <w:r>
        <w:t>l</w:t>
      </w:r>
      <w:r w:rsidR="001958F2">
        <w:t>e stage a été jugé intéressant et bénéfique par l’ensemble des participants ;</w:t>
      </w:r>
    </w:p>
    <w:p w:rsidR="001958F2" w:rsidRDefault="006864D5" w:rsidP="00A45531">
      <w:pPr>
        <w:pStyle w:val="Listepuces"/>
        <w:jc w:val="both"/>
      </w:pPr>
      <w:r>
        <w:t>l</w:t>
      </w:r>
      <w:r w:rsidR="001958F2">
        <w:t>es objectifs fixés par les opérateurs du stage évalués 3 mois après la fin du stage ont été atteints pour 3 des participants et partiellement pour 4 autres ; ceci est en soi un bon résultat</w:t>
      </w:r>
      <w:r>
        <w:t> ;</w:t>
      </w:r>
    </w:p>
    <w:p w:rsidR="001958F2" w:rsidRDefault="006864D5" w:rsidP="00A45531">
      <w:pPr>
        <w:pStyle w:val="Listepuces"/>
        <w:jc w:val="both"/>
      </w:pPr>
      <w:r>
        <w:t>c</w:t>
      </w:r>
      <w:r w:rsidR="001958F2">
        <w:t xml:space="preserve">ette </w:t>
      </w:r>
      <w:r w:rsidR="001958F2" w:rsidRPr="007C0A1E">
        <w:t xml:space="preserve">expérience d’accompagnement collectif </w:t>
      </w:r>
      <w:r w:rsidR="001958F2">
        <w:t>de joueurs en grande difficulté, basée sur un programme dense sur 5 jours en milieu résidentiel mobilisant des techniques de groupes</w:t>
      </w:r>
      <w:r>
        <w:t>,</w:t>
      </w:r>
      <w:r w:rsidR="001958F2">
        <w:t xml:space="preserve"> s’avère pertinente et pourrait correspondre à un maillon de la prise en charge encore lacunaire en France, la postcure résidentielle qui pourrait être proposée à certains joueurs excessifs dans le cadre d’une prise en charge plus globale</w:t>
      </w:r>
      <w:r>
        <w:t>;</w:t>
      </w:r>
    </w:p>
    <w:p w:rsidR="001958F2" w:rsidRDefault="006864D5" w:rsidP="00A45531">
      <w:pPr>
        <w:pStyle w:val="Listepuces"/>
        <w:jc w:val="both"/>
      </w:pPr>
      <w:r>
        <w:t>l</w:t>
      </w:r>
      <w:r w:rsidR="001958F2">
        <w:t xml:space="preserve">es </w:t>
      </w:r>
      <w:r w:rsidR="001958F2" w:rsidRPr="00DE15F2">
        <w:t xml:space="preserve">différents </w:t>
      </w:r>
      <w:r w:rsidR="001958F2">
        <w:t>axes travaillés sont pertinents :</w:t>
      </w:r>
      <w:r w:rsidR="001958F2" w:rsidRPr="00DE15F2">
        <w:t xml:space="preserve"> un travail spécifique sur l</w:t>
      </w:r>
      <w:r w:rsidR="001958F2">
        <w:t>e jeu axé sur le comportement (</w:t>
      </w:r>
      <w:r w:rsidR="001958F2" w:rsidRPr="00DE15F2">
        <w:t>déprogramm</w:t>
      </w:r>
      <w:r w:rsidR="001958F2">
        <w:t>ation, processus de changement</w:t>
      </w:r>
      <w:r w:rsidR="001958F2" w:rsidRPr="00DE15F2">
        <w:t>)</w:t>
      </w:r>
      <w:r w:rsidR="001958F2">
        <w:t>,</w:t>
      </w:r>
      <w:r w:rsidR="001958F2" w:rsidRPr="00DE15F2">
        <w:t xml:space="preserve"> sur l'estime de soi</w:t>
      </w:r>
      <w:r w:rsidR="001958F2">
        <w:t xml:space="preserve"> et sur </w:t>
      </w:r>
      <w:r w:rsidR="001958F2" w:rsidRPr="00DE15F2">
        <w:t>l'identité</w:t>
      </w:r>
      <w:r w:rsidR="001958F2">
        <w:t xml:space="preserve">, </w:t>
      </w:r>
      <w:r w:rsidR="001958F2" w:rsidRPr="00DE15F2">
        <w:t>un travail commun avec ce qui est travaillé avec les autres addictions, un travail de relaxation, de prise de conscience du corps et motivationnel</w:t>
      </w:r>
      <w:r>
        <w:t>le ;</w:t>
      </w:r>
    </w:p>
    <w:p w:rsidR="001958F2" w:rsidRDefault="006864D5" w:rsidP="00A45531">
      <w:pPr>
        <w:pStyle w:val="Listepuces"/>
        <w:jc w:val="both"/>
      </w:pPr>
      <w:r>
        <w:t>l</w:t>
      </w:r>
      <w:r w:rsidR="001958F2" w:rsidRPr="00F72277">
        <w:t xml:space="preserve">es </w:t>
      </w:r>
      <w:r w:rsidR="001958F2">
        <w:t>participants</w:t>
      </w:r>
      <w:r w:rsidR="001958F2" w:rsidRPr="00F72277">
        <w:t xml:space="preserve"> ont tous l'air d'a</w:t>
      </w:r>
      <w:r w:rsidR="001958F2">
        <w:t>voir fortement investi ce stage</w:t>
      </w:r>
      <w:r w:rsidR="001958F2" w:rsidRPr="00F72277">
        <w:t xml:space="preserve"> et d'en avoir tiré des énergies positives pour la suite, ce qui est une base extrêmement</w:t>
      </w:r>
      <w:r w:rsidR="00A80571">
        <w:t xml:space="preserve"> </w:t>
      </w:r>
      <w:r w:rsidR="001958F2" w:rsidRPr="00F72277">
        <w:t>intéressante</w:t>
      </w:r>
      <w:r>
        <w:t> ;</w:t>
      </w:r>
    </w:p>
    <w:p w:rsidR="001958F2" w:rsidRDefault="006864D5" w:rsidP="00A45531">
      <w:pPr>
        <w:pStyle w:val="Listepuces"/>
        <w:jc w:val="both"/>
      </w:pPr>
      <w:r>
        <w:t>l</w:t>
      </w:r>
      <w:r w:rsidR="001958F2">
        <w:t>a phase d’inscription aurait pu être améliorée en généralisant les partenariats avec des CSAPA à l’exemple des deux recrutement faits en concertation avec Marmottan</w:t>
      </w:r>
      <w:r>
        <w:t> ;</w:t>
      </w:r>
    </w:p>
    <w:p w:rsidR="001958F2" w:rsidRDefault="006864D5" w:rsidP="00A45531">
      <w:pPr>
        <w:pStyle w:val="Listepuces"/>
        <w:jc w:val="both"/>
      </w:pPr>
      <w:r>
        <w:t>u</w:t>
      </w:r>
      <w:r w:rsidR="001958F2">
        <w:t>ne durée du stage plus longue (</w:t>
      </w:r>
      <w:r w:rsidR="001958F2" w:rsidRPr="007A3A6C">
        <w:t>telle que 7 à 10 jours</w:t>
      </w:r>
      <w:r w:rsidR="001958F2">
        <w:t>), si les financements l’avaient permis, aurait pu être bénéfique</w:t>
      </w:r>
      <w:r w:rsidR="001958F2" w:rsidRPr="007A3A6C">
        <w:t xml:space="preserve"> afin d'inscrire les changements dans un rythme </w:t>
      </w:r>
      <w:r w:rsidR="001958F2">
        <w:t>moins dense</w:t>
      </w:r>
      <w:r>
        <w:t> ;</w:t>
      </w:r>
    </w:p>
    <w:p w:rsidR="001958F2" w:rsidRDefault="006864D5" w:rsidP="00A45531">
      <w:pPr>
        <w:pStyle w:val="Listepuces"/>
        <w:jc w:val="both"/>
      </w:pPr>
      <w:r>
        <w:t>l</w:t>
      </w:r>
      <w:r w:rsidR="001958F2">
        <w:t>a question du suivi des participants à l’issue du stage est un élément clef de la réussite à long terme ; cette question qui n’a pas été prise en compte dans cette première expérimentation est soulignée dans le bilan du stage établi par les organisateurs.</w:t>
      </w:r>
    </w:p>
    <w:p w:rsidR="001958F2" w:rsidRDefault="001958F2" w:rsidP="00A45531">
      <w:pPr>
        <w:jc w:val="both"/>
      </w:pPr>
      <w:r>
        <w:t>L’IJE souhaitant persévérer dans cette voie en renouvelant une telle expérience, le comité d’évaluation soutient cette volonté et recommande que :</w:t>
      </w:r>
    </w:p>
    <w:p w:rsidR="001958F2" w:rsidRDefault="001958F2" w:rsidP="00A45531">
      <w:pPr>
        <w:pStyle w:val="Listepuces"/>
        <w:jc w:val="both"/>
      </w:pPr>
      <w:r>
        <w:t xml:space="preserve">soit prise en compte la nécessité d’inscrire un tel stage dans un parcours de soins en mettant en </w:t>
      </w:r>
      <w:r w:rsidR="00854A35">
        <w:t>œ</w:t>
      </w:r>
      <w:r>
        <w:t>uvre des partenariats avec des Csapa</w:t>
      </w:r>
      <w:r w:rsidR="006864D5">
        <w:t xml:space="preserve">, </w:t>
      </w:r>
      <w:r>
        <w:t>en amont pour le recrutement, en aval pour le suivi</w:t>
      </w:r>
      <w:r w:rsidR="006864D5">
        <w:t> ;</w:t>
      </w:r>
    </w:p>
    <w:p w:rsidR="001958F2" w:rsidRPr="001958F2" w:rsidRDefault="001958F2" w:rsidP="00A45531">
      <w:pPr>
        <w:pStyle w:val="Listepuces"/>
        <w:jc w:val="both"/>
      </w:pPr>
      <w:r w:rsidRPr="001958F2">
        <w:rPr>
          <w:rFonts w:eastAsia="Times New Roman"/>
        </w:rPr>
        <w:t>soit sollicité l'appui de chercheurs pour renforcer la pertinence et développer l’évaluation du dispositif par</w:t>
      </w:r>
      <w:r w:rsidR="00A80571">
        <w:rPr>
          <w:rFonts w:eastAsia="Times New Roman"/>
        </w:rPr>
        <w:t xml:space="preserve"> </w:t>
      </w:r>
      <w:r w:rsidRPr="001958F2">
        <w:rPr>
          <w:rFonts w:eastAsia="Times New Roman"/>
        </w:rPr>
        <w:t>une revue de la littérature scientifique sur l’efficacité de ce type de prise en charge et celle des méthodes thérapeutiques mobilisées et</w:t>
      </w:r>
      <w:r w:rsidR="00A80571">
        <w:rPr>
          <w:rFonts w:eastAsia="Times New Roman"/>
        </w:rPr>
        <w:t xml:space="preserve"> </w:t>
      </w:r>
      <w:r w:rsidRPr="001958F2">
        <w:rPr>
          <w:rFonts w:eastAsia="Times New Roman"/>
        </w:rPr>
        <w:t>le renforcement de la mesure des effets des différentes thérapies proposées par des entretien</w:t>
      </w:r>
      <w:r w:rsidR="006864D5">
        <w:rPr>
          <w:rFonts w:eastAsia="Times New Roman"/>
        </w:rPr>
        <w:t>s.</w:t>
      </w:r>
    </w:p>
    <w:p w:rsidR="00412B89" w:rsidRDefault="00412B89" w:rsidP="00412B89">
      <w:pPr>
        <w:pStyle w:val="Titre2"/>
      </w:pPr>
      <w:bookmarkStart w:id="31" w:name="_Toc317963423"/>
      <w:r>
        <w:t>Partenariats</w:t>
      </w:r>
      <w:bookmarkEnd w:id="31"/>
    </w:p>
    <w:p w:rsidR="00DB5ACF" w:rsidRDefault="00DB5ACF" w:rsidP="00DB5ACF">
      <w:pPr>
        <w:pStyle w:val="Titre3"/>
      </w:pPr>
      <w:bookmarkStart w:id="32" w:name="_Toc317963424"/>
      <w:r>
        <w:t>I</w:t>
      </w:r>
      <w:r w:rsidR="00D32366">
        <w:t>resp</w:t>
      </w:r>
      <w:r>
        <w:t xml:space="preserve"> – Appel à projets de recherche</w:t>
      </w:r>
      <w:bookmarkEnd w:id="32"/>
    </w:p>
    <w:p w:rsidR="00DD50D5" w:rsidRDefault="00DD50D5" w:rsidP="00A45531">
      <w:pPr>
        <w:jc w:val="both"/>
      </w:pPr>
      <w:r>
        <w:t>Dans le prolongement de ces activités, l’ODJ souhaite favoriser le développement de recherches sur les jeux de hasard et d’argent, orientées vers l’aide à la décision, dans les domaines encore mal couverts en France tels que l’épidémiologie, les sciences humaines et sociales et la recherche clinique. Il compte le faire en s’appuyant sur les organismes légitimes pour gérer ces questions dans le cadre de leurs procédures existantes et dans une perspective internationale afin de mieux être efficace dans un domaine où les ressources humaines sont rares et les questions méthodologiques encore peu stabilisées.</w:t>
      </w:r>
    </w:p>
    <w:p w:rsidR="00DD50D5" w:rsidRDefault="00DD50D5" w:rsidP="00A45531">
      <w:pPr>
        <w:jc w:val="both"/>
      </w:pPr>
      <w:r>
        <w:t>À la suite d’une première réflexion, les thématiques de recherche qui lui sem</w:t>
      </w:r>
      <w:r w:rsidR="00E834EC">
        <w:t>b</w:t>
      </w:r>
      <w:r>
        <w:t>lent devoir être développées sont les suivantes :</w:t>
      </w:r>
    </w:p>
    <w:p w:rsidR="00DD50D5" w:rsidRDefault="00DD50D5" w:rsidP="00A45531">
      <w:pPr>
        <w:pStyle w:val="Listepuces"/>
        <w:jc w:val="both"/>
      </w:pPr>
      <w:r>
        <w:t>(société) Impacts socio-économiques des jeux : une étude en France sur la question des coûts-bénéfices (s’inspirant d’études antérieurement menées au Canada/Québec) réalisée en 2013/2014 a permis de définir les besoins spécifiques en lien avec ce thème, et de proposer des études pour documenter en particuliers les coûts sociaux.</w:t>
      </w:r>
    </w:p>
    <w:p w:rsidR="00DD50D5" w:rsidRDefault="00DD50D5" w:rsidP="00A45531">
      <w:pPr>
        <w:pStyle w:val="Listepuces"/>
        <w:jc w:val="both"/>
      </w:pPr>
      <w:r>
        <w:lastRenderedPageBreak/>
        <w:t>(santé) Amélioration des outils diagnostics : voir comment faire un meilleur arrimage entre l’ICJE et le DSM-5</w:t>
      </w:r>
      <w:r w:rsidR="00D06310">
        <w:t>( ?)</w:t>
      </w:r>
      <w:r>
        <w:t>. Des travaux en ce sens ont déjà été amorcés au Québec, en Angleterre notamment ; aller plus à fond dans la bonification de ces outils diagnostics.</w:t>
      </w:r>
    </w:p>
    <w:p w:rsidR="00DD50D5" w:rsidRDefault="00DD50D5" w:rsidP="00A45531">
      <w:pPr>
        <w:pStyle w:val="Listepuces"/>
        <w:jc w:val="both"/>
      </w:pPr>
      <w:r>
        <w:t>(santé et société) Développement et évaluation des mesures innovantes de prévention secondaire autour de la problématique du jeu et des liens entre les différentes addictions avec et sans substance</w:t>
      </w:r>
    </w:p>
    <w:p w:rsidR="00DD50D5" w:rsidRDefault="00DD50D5" w:rsidP="00A45531">
      <w:pPr>
        <w:pStyle w:val="Listepuces"/>
        <w:jc w:val="both"/>
      </w:pPr>
      <w:r>
        <w:t>(société) Investigation de la question du sociopolitique et de l’éthique à propos de l’implication de l’État dans le secteur du jeu : poursuivre la réflexion sur la question du jeu responsable et de ses implications (au plan épistémologique mais aussi comme usage approprié ou non selon les objectifs poursuivis) et de la cohérences des politiques publiques en ce domaine.</w:t>
      </w:r>
    </w:p>
    <w:p w:rsidR="00DD50D5" w:rsidRDefault="00DD50D5" w:rsidP="00A45531">
      <w:pPr>
        <w:jc w:val="both"/>
      </w:pPr>
      <w:r>
        <w:t>Une première expérience de collaboration avec l’IRESP a abouti à la participation de l’ODJ à l’appel à projets de</w:t>
      </w:r>
      <w:r w:rsidR="0035443E">
        <w:t xml:space="preserve"> recherche de l’IRESP de </w:t>
      </w:r>
      <w:r w:rsidR="0035443E" w:rsidRPr="0035443E">
        <w:t>2015 sur la prévention, les</w:t>
      </w:r>
      <w:r w:rsidRPr="0035443E">
        <w:t xml:space="preserve"> déterminants de santé</w:t>
      </w:r>
      <w:r w:rsidR="0035443E" w:rsidRPr="0035443E">
        <w:t xml:space="preserve"> et la recherche interventionnelle dans les addictions</w:t>
      </w:r>
      <w:r w:rsidR="00A80571">
        <w:t>,</w:t>
      </w:r>
      <w:r w:rsidR="0035443E" w:rsidRPr="0035443E">
        <w:t xml:space="preserve"> l’addiction aux jeux en faisant </w:t>
      </w:r>
      <w:r w:rsidRPr="0035443E">
        <w:t>partie</w:t>
      </w:r>
      <w:r w:rsidR="0035443E">
        <w:t> </w:t>
      </w:r>
      <w:r w:rsidR="00D06310">
        <w:t>.</w:t>
      </w:r>
      <w:r w:rsidR="0035443E" w:rsidRPr="0035443E">
        <w:t xml:space="preserve"> </w:t>
      </w:r>
      <w:r w:rsidRPr="0035443E">
        <w:t>68 projets ont été soumis</w:t>
      </w:r>
      <w:r w:rsidR="0035443E" w:rsidRPr="0035443E">
        <w:t xml:space="preserve"> </w:t>
      </w:r>
      <w:r w:rsidRPr="0035443E">
        <w:t xml:space="preserve">; 7 d’entre eux portent sur la question </w:t>
      </w:r>
      <w:r w:rsidR="0035443E" w:rsidRPr="0035443E">
        <w:t>des jeux d’argent et de hasard. Tous les projets ont été évalués par un comité scientifique ; 8 ont été classés comme recevables par le comité scientifique et finançables par les partenaires de l’</w:t>
      </w:r>
      <w:r w:rsidR="0035443E">
        <w:t>appel à projets dont un portant sur les jeux d’argent et qui sera financé par l’ODJ et l’ARJEL.</w:t>
      </w:r>
    </w:p>
    <w:p w:rsidR="00DD50D5" w:rsidRDefault="0035443E" w:rsidP="00A45531">
      <w:pPr>
        <w:jc w:val="both"/>
      </w:pPr>
      <w:r>
        <w:t>Ce projet s’intitule « </w:t>
      </w:r>
      <w:r w:rsidR="00DD50D5">
        <w:t>Cognitive control training in online problem gambling: an online randomized controlled trial among non-treatment seeking problem gamblers</w:t>
      </w:r>
      <w:r>
        <w:t> » et est porté par Amandine Luquiens (</w:t>
      </w:r>
      <w:r w:rsidR="00DD50D5">
        <w:t>Inserm U1178 équipe ad</w:t>
      </w:r>
      <w:r>
        <w:t>dictologie Hôpital Paul Brousse).</w:t>
      </w:r>
    </w:p>
    <w:p w:rsidR="00A45531" w:rsidRDefault="00DD50D5" w:rsidP="00A45531">
      <w:pPr>
        <w:jc w:val="both"/>
      </w:pPr>
      <w:r>
        <w:t xml:space="preserve">Le training cognitif est une technique visant à proposer des exercices ciblés sur une ou plusieurs fonctions cognitives pour améliorer les performances des patients, et indirectement les signes cliniques d’un trouble. </w:t>
      </w:r>
      <w:r w:rsidR="0035443E">
        <w:t>Le</w:t>
      </w:r>
      <w:r>
        <w:t xml:space="preserve"> projet est un essai via internet, contrôlé contre placebo, randomisé, en simple aveugle, testant l’efficacité d’une intervention de training cognitif ciblant le contrôle cognitif inhibiteur dans l’addiction au jeux de hasard et d’argent chez les joueurs en ligne</w:t>
      </w:r>
      <w:r w:rsidR="00A45531">
        <w:t>.</w:t>
      </w:r>
    </w:p>
    <w:p w:rsidR="00DD50D5" w:rsidRDefault="00DD50D5" w:rsidP="00A45531">
      <w:pPr>
        <w:jc w:val="both"/>
      </w:pPr>
      <w:r>
        <w:t xml:space="preserve"> Les joueurs en ligne problématiques et pathologiques utilisant des opérateurs de jeu ayant une licence française seront systématiquement dépistés à partir de leur</w:t>
      </w:r>
      <w:r w:rsidR="00D06310">
        <w:t>s</w:t>
      </w:r>
      <w:r>
        <w:t xml:space="preserve"> données de jeu stockées par l’autorité de régulation des jeux en ligne (ARJEL) et en utilisant un modèle prédictif d’addiction au jeu. Ces joueurs se verront proposer par mail une invitation à entrer dans</w:t>
      </w:r>
      <w:r w:rsidR="00A80571">
        <w:t xml:space="preserve"> </w:t>
      </w:r>
      <w:r w:rsidR="00D06310">
        <w:t>l’</w:t>
      </w:r>
      <w:r>
        <w:t xml:space="preserve">étude, et seront randomisés entre deux interventions : (a) le training cognitif en ligne, soit un programme de 6 exercices à faire jusqu’à deux fois par semaines pendant 45 minutes pendant 6 semaines, (b) un programme placebo du même format. Ils pourront bénéficier d’un débriefing par téléphone de 15 minutes à leur convenance après les sessions en ligne. L’efficacité de ce programme sera évaluée par téléphone, en ligne et à partir des données de jeu, à 6 semaines par l’index canadien du jeu excessif (version 30 derniers jours) et d’autres critères secondaires cognitifs et comportementaux, puis à 14 semaines pour évaluer la persistance de l’effet. </w:t>
      </w:r>
    </w:p>
    <w:p w:rsidR="00DB5ACF" w:rsidRDefault="00E4126C" w:rsidP="00D32366">
      <w:pPr>
        <w:pStyle w:val="Titre3"/>
      </w:pPr>
      <w:bookmarkStart w:id="33" w:name="_Toc317963425"/>
      <w:r>
        <w:t xml:space="preserve">Partenariats études et enquêtes : Arjel, </w:t>
      </w:r>
      <w:r w:rsidR="00D32366">
        <w:t>Inpes</w:t>
      </w:r>
      <w:r>
        <w:t>, OFDT</w:t>
      </w:r>
      <w:bookmarkEnd w:id="33"/>
    </w:p>
    <w:p w:rsidR="00E4126C" w:rsidRPr="00E4126C" w:rsidRDefault="001F7F09" w:rsidP="00A45531">
      <w:pPr>
        <w:jc w:val="both"/>
      </w:pPr>
      <w:r w:rsidRPr="00D85846">
        <w:t xml:space="preserve">Dans la réalisation de ces différentes enquêtes, l’ODJ s’est attaché à nouer des partenariats avec les partenaires publics légitimes sur ces thèmes d’investigation - l’INPES, </w:t>
      </w:r>
      <w:r w:rsidR="00E4126C" w:rsidRPr="00D85846">
        <w:t>l’OFDT et l’ARJEL</w:t>
      </w:r>
      <w:r w:rsidRPr="00D85846">
        <w:t xml:space="preserve"> – en les associant à des groupes de travail ou des comités de pilotage </w:t>
      </w:r>
      <w:r w:rsidR="00D85846" w:rsidRPr="00D85846">
        <w:t>.</w:t>
      </w:r>
    </w:p>
    <w:p w:rsidR="00DB5ACF" w:rsidRDefault="00DB5ACF" w:rsidP="00DB5ACF">
      <w:pPr>
        <w:pStyle w:val="Titre3"/>
      </w:pPr>
      <w:bookmarkStart w:id="34" w:name="_Toc317963426"/>
      <w:r>
        <w:t>Québec et partenariats internationaux</w:t>
      </w:r>
      <w:bookmarkEnd w:id="34"/>
    </w:p>
    <w:p w:rsidR="000263D0" w:rsidRDefault="000263D0" w:rsidP="00A45531">
      <w:pPr>
        <w:jc w:val="both"/>
      </w:pPr>
      <w:r>
        <w:t xml:space="preserve">Depuis 2012, l’ODJ a collaboré avec deux équipes de chercheures québécoises : Louise Nadeau, </w:t>
      </w:r>
      <w:r w:rsidR="00D06310">
        <w:t>p</w:t>
      </w:r>
      <w:r>
        <w:t xml:space="preserve">rofesseure de psychologie à l’Université de Montréal et Sylvia Kairouz, </w:t>
      </w:r>
      <w:r w:rsidR="00D06310">
        <w:t>p</w:t>
      </w:r>
      <w:r>
        <w:t>rofesseure associée au département de sociologie et d’anthropologie de l’Université Concordia à Montréal.</w:t>
      </w:r>
    </w:p>
    <w:p w:rsidR="00F605A3" w:rsidRDefault="000263D0" w:rsidP="00A45531">
      <w:pPr>
        <w:jc w:val="both"/>
      </w:pPr>
      <w:r>
        <w:lastRenderedPageBreak/>
        <w:t>Un premier temps fort a été la collaboration dans le cadre du groupe de travail, présidé par Louise Nadeau, mis en place</w:t>
      </w:r>
      <w:r w:rsidR="00F605A3">
        <w:t xml:space="preserve"> par le ministre des finances du gouvernement du Québec </w:t>
      </w:r>
      <w:r>
        <w:t>pour rapporter sur le sujet du jeu en ligne</w:t>
      </w:r>
      <w:r w:rsidR="003E7DAF">
        <w:t>. Ce groupe</w:t>
      </w:r>
      <w:r w:rsidR="00A80571">
        <w:t xml:space="preserve"> </w:t>
      </w:r>
      <w:r w:rsidR="003E7DAF">
        <w:t>a conçu et proposé</w:t>
      </w:r>
      <w:r w:rsidR="00F605A3">
        <w:t xml:space="preserve"> la mise en place d’un système de monitorage visant à collecter et à analyser les données identifiées comme les plus significatives pour prévenir et contrôler les évolutions et donc assurer le cœur de mission d’un observatoire. Le partenariat avec </w:t>
      </w:r>
      <w:r w:rsidR="003E7DAF">
        <w:t>ce groupe de travail</w:t>
      </w:r>
      <w:r w:rsidR="00AE46AC">
        <w:t>, acté par un courrier des ministres des finances des deux parties,</w:t>
      </w:r>
      <w:r w:rsidR="003E7DAF">
        <w:t xml:space="preserve"> a permis à l’</w:t>
      </w:r>
      <w:r w:rsidR="00D06310">
        <w:t>O</w:t>
      </w:r>
      <w:r w:rsidR="003E7DAF">
        <w:t xml:space="preserve">bservatoire de mieux préciser son propre </w:t>
      </w:r>
      <w:r w:rsidR="00F605A3">
        <w:t xml:space="preserve">système d’information. </w:t>
      </w:r>
    </w:p>
    <w:p w:rsidR="00AE46AC" w:rsidRPr="00AE46AC" w:rsidRDefault="00AE46AC" w:rsidP="00A45531">
      <w:pPr>
        <w:jc w:val="both"/>
      </w:pPr>
      <w:r w:rsidRPr="00AE46AC">
        <w:t>L’ODJ a appuyé</w:t>
      </w:r>
      <w:r w:rsidR="0039203B" w:rsidRPr="00AE46AC">
        <w:t xml:space="preserve"> </w:t>
      </w:r>
      <w:r w:rsidRPr="00AE46AC">
        <w:t xml:space="preserve">l’équipe de Sylvia Kairouz </w:t>
      </w:r>
      <w:r w:rsidR="0039203B" w:rsidRPr="00AE46AC">
        <w:t>pour la demande de Chaire de recherche sur le jeu responsable – Concours du Fonds de recherche du Québec - Société et culture (FRQ-SC)</w:t>
      </w:r>
      <w:r w:rsidRPr="00AE46AC">
        <w:t>, par un courrier de</w:t>
      </w:r>
      <w:r w:rsidR="0039203B" w:rsidRPr="00AE46AC">
        <w:t xml:space="preserve"> 2 février 2012</w:t>
      </w:r>
      <w:r w:rsidRPr="00AE46AC">
        <w:t>. Cette demande a abouti et cette chaire est ouverte pour une durée de dix ans.</w:t>
      </w:r>
    </w:p>
    <w:p w:rsidR="00E52F1D" w:rsidRPr="00E52F1D" w:rsidRDefault="00AE46AC" w:rsidP="00A45531">
      <w:pPr>
        <w:jc w:val="both"/>
      </w:pPr>
      <w:r w:rsidRPr="00E52F1D">
        <w:t xml:space="preserve">L’ODJ a collaboré avec la chaire </w:t>
      </w:r>
      <w:r w:rsidR="00E52F1D" w:rsidRPr="00E52F1D">
        <w:t>à</w:t>
      </w:r>
      <w:r w:rsidRPr="00E52F1D">
        <w:t xml:space="preserve"> l’</w:t>
      </w:r>
      <w:r w:rsidR="00E52F1D" w:rsidRPr="00E52F1D">
        <w:t>organisation d’un symposium « Symposium interactif d’été́ - Recherche 2.0 »</w:t>
      </w:r>
      <w:r w:rsidRPr="00E52F1D">
        <w:t xml:space="preserve"> </w:t>
      </w:r>
      <w:r w:rsidR="00E52F1D" w:rsidRPr="00E52F1D">
        <w:t xml:space="preserve">qui s’est tenu </w:t>
      </w:r>
      <w:r w:rsidRPr="00E52F1D">
        <w:t xml:space="preserve">à l’Université </w:t>
      </w:r>
      <w:r w:rsidR="00E52F1D" w:rsidRPr="00E52F1D">
        <w:t>Concordia du 8 au 11juin 2015</w:t>
      </w:r>
      <w:r w:rsidR="00E52F1D">
        <w:t xml:space="preserve">. </w:t>
      </w:r>
      <w:r w:rsidR="0039203B" w:rsidRPr="00E52F1D">
        <w:t xml:space="preserve">Avec la </w:t>
      </w:r>
      <w:r w:rsidR="00E52F1D" w:rsidRPr="00E52F1D">
        <w:t>numérisation</w:t>
      </w:r>
      <w:r w:rsidR="0039203B" w:rsidRPr="00E52F1D">
        <w:t xml:space="preserve"> des jeux de hasard et d’argent et des jeux </w:t>
      </w:r>
      <w:r w:rsidR="00E52F1D" w:rsidRPr="00E52F1D">
        <w:t>vidéo</w:t>
      </w:r>
      <w:r w:rsidR="0039203B" w:rsidRPr="00E52F1D">
        <w:t xml:space="preserve">, les </w:t>
      </w:r>
      <w:r w:rsidR="00E52F1D" w:rsidRPr="00E52F1D">
        <w:t>voies</w:t>
      </w:r>
      <w:r w:rsidR="0039203B" w:rsidRPr="00E52F1D">
        <w:t xml:space="preserve"> de recherche sont plus susceptibles de traverser </w:t>
      </w:r>
      <w:r w:rsidR="00E52F1D" w:rsidRPr="00E52F1D">
        <w:t>différents</w:t>
      </w:r>
      <w:r w:rsidR="0039203B" w:rsidRPr="00E52F1D">
        <w:t xml:space="preserve"> </w:t>
      </w:r>
      <w:r w:rsidR="00E52F1D" w:rsidRPr="00E52F1D">
        <w:t>systèmes</w:t>
      </w:r>
      <w:r w:rsidR="0039203B" w:rsidRPr="00E52F1D">
        <w:t xml:space="preserve"> soulevant des questions quant à leur nature distincte et au chevauchement potentiel</w:t>
      </w:r>
      <w:r w:rsidR="00D06310">
        <w:t xml:space="preserve"> (pour un lecteur non averti cette phrase est difficile à comprendre</w:t>
      </w:r>
      <w:r w:rsidR="00B755AF">
        <w:t>)</w:t>
      </w:r>
      <w:r w:rsidR="00D06310">
        <w:t xml:space="preserve"> </w:t>
      </w:r>
      <w:r w:rsidR="0039203B" w:rsidRPr="00E52F1D">
        <w:t xml:space="preserve">. Le Symposium </w:t>
      </w:r>
      <w:r w:rsidR="00E52F1D" w:rsidRPr="00E52F1D">
        <w:t>a été le premier évènement</w:t>
      </w:r>
      <w:r w:rsidR="0039203B" w:rsidRPr="00E52F1D">
        <w:t xml:space="preserve"> de </w:t>
      </w:r>
      <w:r w:rsidR="00E52F1D" w:rsidRPr="00E52F1D">
        <w:t xml:space="preserve">recherche et </w:t>
      </w:r>
      <w:r w:rsidR="0039203B" w:rsidRPr="00E52F1D">
        <w:t xml:space="preserve">formation </w:t>
      </w:r>
      <w:r w:rsidR="00E52F1D" w:rsidRPr="00E52F1D">
        <w:t>universitaire visant</w:t>
      </w:r>
      <w:r w:rsidR="0039203B" w:rsidRPr="00E52F1D">
        <w:t xml:space="preserve"> à examiner les convergences et divergences entre deux champs d’</w:t>
      </w:r>
      <w:r w:rsidR="00E52F1D" w:rsidRPr="00E52F1D">
        <w:t>études</w:t>
      </w:r>
      <w:r w:rsidR="0039203B" w:rsidRPr="00E52F1D">
        <w:t xml:space="preserve"> : l’</w:t>
      </w:r>
      <w:r w:rsidR="00E52F1D" w:rsidRPr="00E52F1D">
        <w:t>étude</w:t>
      </w:r>
      <w:r w:rsidR="0039203B" w:rsidRPr="00E52F1D">
        <w:t xml:space="preserve"> des jeux de hasard et d’argent (JHA, gambling) et l’</w:t>
      </w:r>
      <w:r w:rsidR="00E52F1D" w:rsidRPr="00E52F1D">
        <w:t>étude</w:t>
      </w:r>
      <w:r w:rsidR="0039203B" w:rsidRPr="00E52F1D">
        <w:t xml:space="preserve"> des jeux </w:t>
      </w:r>
      <w:r w:rsidR="00E52F1D" w:rsidRPr="00E52F1D">
        <w:t>vidéo</w:t>
      </w:r>
      <w:r w:rsidR="0039203B" w:rsidRPr="00E52F1D">
        <w:t xml:space="preserve"> (gaming).</w:t>
      </w:r>
      <w:r w:rsidR="00E52F1D">
        <w:t xml:space="preserve"> </w:t>
      </w:r>
      <w:r w:rsidR="0039203B" w:rsidRPr="00E52F1D">
        <w:t xml:space="preserve">Trois questions </w:t>
      </w:r>
      <w:r w:rsidR="00E52F1D">
        <w:t>ont été</w:t>
      </w:r>
      <w:r w:rsidR="0039203B" w:rsidRPr="00E52F1D">
        <w:t xml:space="preserve"> au cœur des </w:t>
      </w:r>
      <w:r w:rsidR="00E52F1D" w:rsidRPr="00E52F1D">
        <w:t>débats</w:t>
      </w:r>
      <w:r w:rsidR="0039203B" w:rsidRPr="00E52F1D">
        <w:t xml:space="preserve"> et discussions:</w:t>
      </w:r>
    </w:p>
    <w:p w:rsidR="0039203B" w:rsidRPr="0017722F" w:rsidRDefault="0039203B" w:rsidP="00A45531">
      <w:pPr>
        <w:pStyle w:val="Listepuces"/>
        <w:jc w:val="both"/>
      </w:pPr>
      <w:r w:rsidRPr="0017722F">
        <w:t>Qu’est-ce</w:t>
      </w:r>
      <w:r w:rsidR="00E52F1D" w:rsidRPr="0017722F">
        <w:t xml:space="preserve"> </w:t>
      </w:r>
      <w:r w:rsidRPr="0017722F">
        <w:t>qui</w:t>
      </w:r>
      <w:r w:rsidR="00E52F1D" w:rsidRPr="0017722F">
        <w:t xml:space="preserve"> </w:t>
      </w:r>
      <w:r w:rsidRPr="0017722F">
        <w:t>alimente</w:t>
      </w:r>
      <w:r w:rsidR="00E52F1D" w:rsidRPr="0017722F">
        <w:t xml:space="preserve"> </w:t>
      </w:r>
      <w:r w:rsidRPr="0017722F">
        <w:t>le</w:t>
      </w:r>
      <w:r w:rsidR="00E52F1D" w:rsidRPr="0017722F">
        <w:t xml:space="preserve"> </w:t>
      </w:r>
      <w:r w:rsidRPr="0017722F">
        <w:t>marché</w:t>
      </w:r>
      <w:r w:rsidR="00E52F1D" w:rsidRPr="0017722F">
        <w:t xml:space="preserve"> </w:t>
      </w:r>
      <w:r w:rsidRPr="0017722F">
        <w:t>des</w:t>
      </w:r>
      <w:r w:rsidR="00E52F1D" w:rsidRPr="0017722F">
        <w:t xml:space="preserve"> </w:t>
      </w:r>
      <w:r w:rsidRPr="0017722F">
        <w:t>J</w:t>
      </w:r>
      <w:r w:rsidR="00E52F1D" w:rsidRPr="0017722F">
        <w:t xml:space="preserve">AH </w:t>
      </w:r>
      <w:r w:rsidRPr="0017722F">
        <w:t>et</w:t>
      </w:r>
      <w:r w:rsidR="00E52F1D" w:rsidRPr="0017722F">
        <w:t xml:space="preserve"> </w:t>
      </w:r>
      <w:r w:rsidRPr="0017722F">
        <w:t>des</w:t>
      </w:r>
      <w:r w:rsidR="00E52F1D" w:rsidRPr="0017722F">
        <w:t xml:space="preserve"> </w:t>
      </w:r>
      <w:r w:rsidRPr="0017722F">
        <w:t>jeux</w:t>
      </w:r>
      <w:r w:rsidR="00E52F1D" w:rsidRPr="0017722F">
        <w:t xml:space="preserve"> vidéo </w:t>
      </w:r>
      <w:r w:rsidRPr="0017722F">
        <w:t>en</w:t>
      </w:r>
      <w:r w:rsidR="00E52F1D" w:rsidRPr="0017722F">
        <w:t xml:space="preserve"> </w:t>
      </w:r>
      <w:r w:rsidRPr="0017722F">
        <w:t>ligne</w:t>
      </w:r>
      <w:r w:rsidR="00E52F1D" w:rsidRPr="0017722F">
        <w:t xml:space="preserve"> </w:t>
      </w:r>
      <w:r w:rsidRPr="0017722F">
        <w:t>:</w:t>
      </w:r>
      <w:r w:rsidR="00E52F1D" w:rsidRPr="0017722F">
        <w:t xml:space="preserve"> </w:t>
      </w:r>
      <w:r w:rsidRPr="0017722F">
        <w:t>de</w:t>
      </w:r>
      <w:r w:rsidR="00E52F1D" w:rsidRPr="0017722F">
        <w:t xml:space="preserve"> </w:t>
      </w:r>
      <w:r w:rsidRPr="0017722F">
        <w:t>designs</w:t>
      </w:r>
      <w:r w:rsidR="00E52F1D" w:rsidRPr="0017722F">
        <w:t xml:space="preserve"> initiés </w:t>
      </w:r>
      <w:r w:rsidRPr="0017722F">
        <w:t>par</w:t>
      </w:r>
      <w:r w:rsidR="00E52F1D" w:rsidRPr="0017722F">
        <w:t xml:space="preserve"> </w:t>
      </w:r>
      <w:r w:rsidRPr="0017722F">
        <w:t xml:space="preserve">la </w:t>
      </w:r>
      <w:r w:rsidR="00E52F1D" w:rsidRPr="0017722F">
        <w:t>communauté</w:t>
      </w:r>
      <w:r w:rsidRPr="0017722F">
        <w:t xml:space="preserve"> aux </w:t>
      </w:r>
      <w:r w:rsidR="00E52F1D" w:rsidRPr="0017722F">
        <w:t>stratégies</w:t>
      </w:r>
      <w:r w:rsidRPr="0017722F">
        <w:t xml:space="preserve"> de marketing</w:t>
      </w:r>
      <w:r w:rsidR="0017722F" w:rsidRPr="0017722F">
        <w:t xml:space="preserve"> </w:t>
      </w:r>
      <w:r w:rsidRPr="0017722F">
        <w:t>?</w:t>
      </w:r>
    </w:p>
    <w:p w:rsidR="0039203B" w:rsidRPr="0017722F" w:rsidRDefault="0039203B" w:rsidP="00A45531">
      <w:pPr>
        <w:pStyle w:val="Listepuces"/>
        <w:jc w:val="both"/>
      </w:pPr>
      <w:r w:rsidRPr="0017722F">
        <w:t>Comment</w:t>
      </w:r>
      <w:r w:rsidR="00E52F1D" w:rsidRPr="0017722F">
        <w:t xml:space="preserve"> </w:t>
      </w:r>
      <w:r w:rsidRPr="0017722F">
        <w:t>les</w:t>
      </w:r>
      <w:r w:rsidR="00E52F1D" w:rsidRPr="0017722F">
        <w:t xml:space="preserve"> JAH </w:t>
      </w:r>
      <w:r w:rsidRPr="0017722F">
        <w:t>et</w:t>
      </w:r>
      <w:r w:rsidR="00E52F1D" w:rsidRPr="0017722F">
        <w:t xml:space="preserve"> </w:t>
      </w:r>
      <w:r w:rsidRPr="0017722F">
        <w:t>les</w:t>
      </w:r>
      <w:r w:rsidR="00E52F1D" w:rsidRPr="0017722F">
        <w:t xml:space="preserve"> </w:t>
      </w:r>
      <w:r w:rsidRPr="0017722F">
        <w:t>jeux</w:t>
      </w:r>
      <w:r w:rsidR="00E52F1D" w:rsidRPr="0017722F">
        <w:t xml:space="preserve"> </w:t>
      </w:r>
      <w:r w:rsidR="0017722F" w:rsidRPr="0017722F">
        <w:t>vidéo</w:t>
      </w:r>
      <w:r w:rsidR="00E52F1D" w:rsidRPr="0017722F">
        <w:t xml:space="preserve"> </w:t>
      </w:r>
      <w:r w:rsidRPr="0017722F">
        <w:t>peuvent</w:t>
      </w:r>
      <w:r w:rsidR="00E52F1D" w:rsidRPr="0017722F">
        <w:t xml:space="preserve"> </w:t>
      </w:r>
      <w:r w:rsidR="0017722F" w:rsidRPr="0017722F">
        <w:t>être</w:t>
      </w:r>
      <w:r w:rsidR="00E52F1D" w:rsidRPr="0017722F">
        <w:t xml:space="preserve"> </w:t>
      </w:r>
      <w:r w:rsidRPr="0017722F">
        <w:t>une</w:t>
      </w:r>
      <w:r w:rsidR="00E52F1D" w:rsidRPr="0017722F">
        <w:t xml:space="preserve"> </w:t>
      </w:r>
      <w:r w:rsidRPr="0017722F">
        <w:t>et</w:t>
      </w:r>
      <w:r w:rsidR="00E52F1D" w:rsidRPr="0017722F">
        <w:t xml:space="preserve"> </w:t>
      </w:r>
      <w:r w:rsidR="0017722F" w:rsidRPr="0017722F">
        <w:t>même</w:t>
      </w:r>
      <w:r w:rsidR="00E52F1D" w:rsidRPr="0017722F">
        <w:t xml:space="preserve"> </w:t>
      </w:r>
      <w:r w:rsidRPr="0017722F">
        <w:t>chose</w:t>
      </w:r>
      <w:r w:rsidR="00E52F1D" w:rsidRPr="0017722F">
        <w:t xml:space="preserve"> </w:t>
      </w:r>
      <w:r w:rsidRPr="0017722F">
        <w:t>lorsque</w:t>
      </w:r>
      <w:r w:rsidR="00E52F1D" w:rsidRPr="0017722F">
        <w:t xml:space="preserve"> </w:t>
      </w:r>
      <w:r w:rsidR="0017722F" w:rsidRPr="0017722F">
        <w:t>numérisés</w:t>
      </w:r>
      <w:r w:rsidR="00E52F1D" w:rsidRPr="0017722F">
        <w:t xml:space="preserve"> </w:t>
      </w:r>
      <w:r w:rsidRPr="0017722F">
        <w:t>et</w:t>
      </w:r>
      <w:r w:rsidR="00E52F1D" w:rsidRPr="0017722F">
        <w:t xml:space="preserve"> </w:t>
      </w:r>
      <w:r w:rsidRPr="0017722F">
        <w:t>en ligne: des espaces panoptiques, aux casinos en ligne et MOBAs</w:t>
      </w:r>
      <w:r w:rsidR="0017722F" w:rsidRPr="0017722F">
        <w:t xml:space="preserve"> </w:t>
      </w:r>
      <w:r w:rsidR="00B755AF">
        <w:t>(sigle à expliciter)</w:t>
      </w:r>
      <w:r w:rsidRPr="0017722F">
        <w:t>?</w:t>
      </w:r>
    </w:p>
    <w:p w:rsidR="0039203B" w:rsidRPr="0017722F" w:rsidRDefault="0039203B" w:rsidP="00A45531">
      <w:pPr>
        <w:pStyle w:val="Listepuces"/>
        <w:jc w:val="both"/>
      </w:pPr>
      <w:r w:rsidRPr="0017722F">
        <w:t xml:space="preserve">Quel </w:t>
      </w:r>
      <w:r w:rsidR="0017722F" w:rsidRPr="0017722F">
        <w:t>rôle</w:t>
      </w:r>
      <w:r w:rsidRPr="0017722F">
        <w:t xml:space="preserve"> joue l’analyse de </w:t>
      </w:r>
      <w:r w:rsidR="0017722F" w:rsidRPr="0017722F">
        <w:t>données</w:t>
      </w:r>
      <w:r w:rsidRPr="0017722F">
        <w:t xml:space="preserve"> </w:t>
      </w:r>
      <w:r w:rsidR="0017722F" w:rsidRPr="0017722F">
        <w:t>numériques</w:t>
      </w:r>
      <w:r w:rsidRPr="0017722F">
        <w:t xml:space="preserve"> </w:t>
      </w:r>
      <w:r w:rsidR="0017722F" w:rsidRPr="0017722F">
        <w:t>enregistrées</w:t>
      </w:r>
      <w:r w:rsidRPr="0017722F">
        <w:t xml:space="preserve"> en temps </w:t>
      </w:r>
      <w:r w:rsidR="0017722F" w:rsidRPr="0017722F">
        <w:t>réel</w:t>
      </w:r>
      <w:r w:rsidRPr="0017722F">
        <w:t xml:space="preserve"> dans l'</w:t>
      </w:r>
      <w:r w:rsidR="0017722F" w:rsidRPr="0017722F">
        <w:t>élaboration</w:t>
      </w:r>
      <w:r w:rsidRPr="0017722F">
        <w:t xml:space="preserve"> des JHA et jeux </w:t>
      </w:r>
      <w:r w:rsidR="0017722F" w:rsidRPr="0017722F">
        <w:t>vidéo</w:t>
      </w:r>
      <w:r w:rsidRPr="0017722F">
        <w:t xml:space="preserve"> en ligne: </w:t>
      </w:r>
      <w:hyperlink r:id="rId34" w:history="1">
        <w:r w:rsidR="007667B3" w:rsidRPr="007667B3">
          <w:rPr>
            <w:rStyle w:val="Lienhypertexte"/>
          </w:rPr>
          <w:t>l’effet en boucle du big data; du design à l'expérience ?</w:t>
        </w:r>
      </w:hyperlink>
    </w:p>
    <w:p w:rsidR="0039203B" w:rsidRPr="00FB456B" w:rsidRDefault="00880BC6" w:rsidP="00A45531">
      <w:pPr>
        <w:jc w:val="both"/>
      </w:pPr>
      <w:r w:rsidRPr="00880BC6">
        <w:t>Un élément central du partenariat entre l’ODJ et la chaire jeu de l’Université Concordia est la c</w:t>
      </w:r>
      <w:r w:rsidR="003E7DAF" w:rsidRPr="00880BC6">
        <w:t xml:space="preserve">oordination des enquêtes nationales et </w:t>
      </w:r>
      <w:r w:rsidRPr="00880BC6">
        <w:t>des</w:t>
      </w:r>
      <w:r w:rsidR="003E7DAF" w:rsidRPr="00880BC6">
        <w:t xml:space="preserve"> méthodes</w:t>
      </w:r>
      <w:r w:rsidRPr="00880BC6">
        <w:t xml:space="preserve"> d’analyse. Pour renforcer cette collaboration, u</w:t>
      </w:r>
      <w:r w:rsidR="00002D83" w:rsidRPr="00880BC6">
        <w:t xml:space="preserve">ne demande conjointe de soutien auprès de la </w:t>
      </w:r>
      <w:r w:rsidR="00BC0FC7" w:rsidRPr="00880BC6">
        <w:t>Commission permanente de coopération franco-québécoise</w:t>
      </w:r>
      <w:r w:rsidR="00002D83" w:rsidRPr="00880BC6">
        <w:t xml:space="preserve"> a été faite conjointement par</w:t>
      </w:r>
      <w:r w:rsidR="00002D83" w:rsidRPr="00FB456B">
        <w:t xml:space="preserve"> l’ODJ et la chaire jeu de l’université Concordia. Cette demande a été acceptée et la commission apporte ainsi un soutien financier, notamment par la prise en charge de </w:t>
      </w:r>
      <w:r w:rsidR="0002036C" w:rsidRPr="00FB456B">
        <w:t xml:space="preserve">certains déplacements des deux </w:t>
      </w:r>
      <w:r w:rsidR="00FB456B" w:rsidRPr="00FB456B">
        <w:t>équipes. Dans</w:t>
      </w:r>
      <w:r w:rsidR="00E46A07" w:rsidRPr="00FB456B">
        <w:t xml:space="preserve"> le cadre de cette demande</w:t>
      </w:r>
      <w:r w:rsidR="00FB456B" w:rsidRPr="00FB456B">
        <w:t xml:space="preserve">, les deux équipes ont élaboré un programme de travail commun qui </w:t>
      </w:r>
      <w:r w:rsidR="0039203B" w:rsidRPr="00FB456B">
        <w:t>comprend les éléments suivants :</w:t>
      </w:r>
    </w:p>
    <w:p w:rsidR="0039203B" w:rsidRPr="00FB456B" w:rsidRDefault="00B755AF" w:rsidP="00A45531">
      <w:pPr>
        <w:pStyle w:val="Listepuces"/>
        <w:jc w:val="both"/>
      </w:pPr>
      <w:r>
        <w:t>l</w:t>
      </w:r>
      <w:r w:rsidR="0039203B" w:rsidRPr="00FB456B">
        <w:t>a préparation d'une enquête commune sur les joueurs en ligne</w:t>
      </w:r>
      <w:r>
        <w:t> ;</w:t>
      </w:r>
    </w:p>
    <w:p w:rsidR="0039203B" w:rsidRPr="00FB456B" w:rsidRDefault="00B755AF" w:rsidP="00A45531">
      <w:pPr>
        <w:pStyle w:val="Listepuces"/>
        <w:jc w:val="both"/>
      </w:pPr>
      <w:r>
        <w:t>l</w:t>
      </w:r>
      <w:r w:rsidR="0039203B" w:rsidRPr="00FB456B">
        <w:t>’analyse des facteurs associés au jeu en ligne et des pratiques excessives en matière de jeu d’argent et de hasard en France et au Québec</w:t>
      </w:r>
      <w:r>
        <w:t> ;</w:t>
      </w:r>
    </w:p>
    <w:p w:rsidR="0039203B" w:rsidRPr="00FB456B" w:rsidRDefault="00B755AF" w:rsidP="00A45531">
      <w:pPr>
        <w:pStyle w:val="Listepuces"/>
        <w:jc w:val="both"/>
      </w:pPr>
      <w:r>
        <w:t>l</w:t>
      </w:r>
      <w:r w:rsidR="0039203B" w:rsidRPr="00FB456B">
        <w:t xml:space="preserve">a rédaction en commun </w:t>
      </w:r>
      <w:r w:rsidR="00FB456B" w:rsidRPr="00FB456B">
        <w:t>d’</w:t>
      </w:r>
      <w:r w:rsidR="0039203B" w:rsidRPr="00FB456B">
        <w:t>article</w:t>
      </w:r>
      <w:r w:rsidR="00FB456B" w:rsidRPr="00FB456B">
        <w:t>s</w:t>
      </w:r>
      <w:r w:rsidR="0039203B" w:rsidRPr="00FB456B">
        <w:t xml:space="preserve"> scientifique</w:t>
      </w:r>
      <w:r w:rsidR="00FB456B" w:rsidRPr="00FB456B">
        <w:t>s</w:t>
      </w:r>
      <w:r>
        <w:t>.</w:t>
      </w:r>
      <w:r w:rsidR="0039203B" w:rsidRPr="00FB456B">
        <w:t xml:space="preserve"> </w:t>
      </w:r>
    </w:p>
    <w:p w:rsidR="0060767E" w:rsidRDefault="00485AA8" w:rsidP="00A45531">
      <w:pPr>
        <w:jc w:val="both"/>
      </w:pPr>
      <w:r>
        <w:t xml:space="preserve">La préparation d’une enquête sur les </w:t>
      </w:r>
      <w:r w:rsidR="005C01B0">
        <w:t>joueurs</w:t>
      </w:r>
      <w:r>
        <w:t xml:space="preserve"> </w:t>
      </w:r>
      <w:r w:rsidR="005C01B0">
        <w:t xml:space="preserve">en ligne se fait en associant un autre partenaire, Ingo Fiedler, économiste à l’Université de Hambourg. Cette enquête </w:t>
      </w:r>
      <w:r w:rsidR="009C300B">
        <w:t xml:space="preserve">devrait être réalisée en 2016 en France, au Québec et en Allemagne en 2016. D’autres pays vont être invités à se joindre à nous. Elle portera à la fois sur les pratiques de jeux d’argent et de hasard mais aussi sur une certaine partie des jeux numériques, les pratiques qualifiées de </w:t>
      </w:r>
      <w:r w:rsidR="0008325A">
        <w:t>« Pay to Win », c’est à dire la pratique de jeux numériques au cours desquelles le joueur est amené à s’engager dans des dépenses dans la perspective d’un gain ou d’un avantage dans le courant de la partie.</w:t>
      </w:r>
    </w:p>
    <w:p w:rsidR="00153E5B" w:rsidRDefault="00153E5B" w:rsidP="00C94055"/>
    <w:p w:rsidR="00153E5B" w:rsidRDefault="00153E5B" w:rsidP="00C94055">
      <w:pPr>
        <w:sectPr w:rsidR="00153E5B" w:rsidSect="00B03DF7">
          <w:footerReference w:type="even" r:id="rId35"/>
          <w:footerReference w:type="default" r:id="rId36"/>
          <w:pgSz w:w="11906" w:h="16838"/>
          <w:pgMar w:top="1417" w:right="1417" w:bottom="1417" w:left="1417" w:header="708" w:footer="622" w:gutter="0"/>
          <w:cols w:space="708"/>
          <w:titlePg/>
          <w:docGrid w:linePitch="360"/>
        </w:sectPr>
      </w:pPr>
    </w:p>
    <w:p w:rsidR="00153E5B" w:rsidRDefault="00153E5B" w:rsidP="00153E5B">
      <w:pPr>
        <w:pStyle w:val="Titre1"/>
      </w:pPr>
      <w:bookmarkStart w:id="35" w:name="_Toc317963427"/>
      <w:r>
        <w:lastRenderedPageBreak/>
        <w:t>Annexe</w:t>
      </w:r>
      <w:r w:rsidR="00574942">
        <w:t xml:space="preserve"> 1</w:t>
      </w:r>
      <w:r>
        <w:t> : modèle logique pour le monitorage des jeux d’argent et de hasard</w:t>
      </w:r>
      <w:bookmarkEnd w:id="35"/>
    </w:p>
    <w:p w:rsidR="00153E5B" w:rsidRDefault="009F6770" w:rsidP="00153E5B">
      <w:pPr>
        <w:ind w:left="-567"/>
      </w:pPr>
      <w:r>
        <w:pict w14:anchorId="4038F355">
          <v:shape id="_x0000_i1025" type="#_x0000_t75" style="width:773.25pt;height:349.5pt">
            <v:imagedata r:id="rId37" o:title=""/>
          </v:shape>
        </w:pict>
      </w:r>
    </w:p>
    <w:p w:rsidR="00153E5B" w:rsidRDefault="00153E5B" w:rsidP="00153E5B">
      <w:r>
        <w:br w:type="column"/>
      </w:r>
    </w:p>
    <w:p w:rsidR="00153E5B" w:rsidRDefault="009F6770" w:rsidP="00153E5B">
      <w:pPr>
        <w:ind w:left="-567"/>
      </w:pPr>
      <w:r>
        <w:pict w14:anchorId="63DBE86E">
          <v:shape id="_x0000_i1026" type="#_x0000_t75" style="width:777.75pt;height:161.25pt">
            <v:imagedata r:id="rId38" o:title=""/>
          </v:shape>
        </w:pict>
      </w:r>
    </w:p>
    <w:p w:rsidR="00153E5B" w:rsidRDefault="00153E5B" w:rsidP="00153E5B">
      <w:pPr>
        <w:ind w:left="-567"/>
      </w:pPr>
      <w:r>
        <w:br w:type="column"/>
      </w:r>
      <w:r w:rsidR="009F6770">
        <w:lastRenderedPageBreak/>
        <w:pict w14:anchorId="0670BB07">
          <v:shape id="_x0000_i1027" type="#_x0000_t75" style="width:773.25pt;height:395.25pt">
            <v:imagedata r:id="rId39" o:title=""/>
          </v:shape>
        </w:pict>
      </w:r>
    </w:p>
    <w:p w:rsidR="00153E5B" w:rsidRDefault="00153E5B" w:rsidP="00153E5B">
      <w:pPr>
        <w:ind w:left="-567"/>
      </w:pPr>
      <w:r>
        <w:br w:type="column"/>
      </w:r>
      <w:r w:rsidR="009F6770">
        <w:lastRenderedPageBreak/>
        <w:pict w14:anchorId="2DC3A0B5">
          <v:shape id="_x0000_i1028" type="#_x0000_t75" style="width:774.75pt;height:285.75pt">
            <v:imagedata r:id="rId40" o:title=""/>
          </v:shape>
        </w:pict>
      </w:r>
    </w:p>
    <w:p w:rsidR="00153E5B" w:rsidRPr="00C94055" w:rsidRDefault="00153E5B" w:rsidP="00153E5B"/>
    <w:p w:rsidR="00574942" w:rsidRDefault="00574942" w:rsidP="00C94055">
      <w:pPr>
        <w:sectPr w:rsidR="00574942" w:rsidSect="00634FA9">
          <w:pgSz w:w="16820" w:h="11900" w:orient="landscape"/>
          <w:pgMar w:top="1417" w:right="1417" w:bottom="1417" w:left="1417" w:header="708" w:footer="622" w:gutter="0"/>
          <w:cols w:space="708"/>
          <w:docGrid w:linePitch="360"/>
        </w:sectPr>
      </w:pPr>
    </w:p>
    <w:p w:rsidR="00574942" w:rsidRDefault="00574942" w:rsidP="00574942">
      <w:pPr>
        <w:pStyle w:val="Titre1"/>
      </w:pPr>
      <w:bookmarkStart w:id="36" w:name="_Toc444095622"/>
      <w:bookmarkStart w:id="37" w:name="_Toc317963428"/>
      <w:r>
        <w:lastRenderedPageBreak/>
        <w:t>Annexe 2 : modèle de maquette du bulletin de veille législative</w:t>
      </w:r>
      <w:bookmarkEnd w:id="36"/>
      <w:bookmarkEnd w:id="37"/>
    </w:p>
    <w:p w:rsidR="00574942" w:rsidRPr="00574942" w:rsidRDefault="00574942" w:rsidP="00574942"/>
    <w:p w:rsidR="00574942" w:rsidRDefault="009F6770" w:rsidP="00574942">
      <w:pPr>
        <w:spacing w:before="0" w:line="240" w:lineRule="auto"/>
        <w:sectPr w:rsidR="00574942" w:rsidSect="00C720A4">
          <w:pgSz w:w="11900" w:h="16820"/>
          <w:pgMar w:top="1417" w:right="1417" w:bottom="1417" w:left="1417" w:header="708" w:footer="622" w:gutter="0"/>
          <w:cols w:space="708"/>
          <w:docGrid w:linePitch="360"/>
        </w:sectPr>
      </w:pPr>
      <w:r>
        <w:pict w14:anchorId="44F91D31">
          <v:shape id="_x0000_i1029" type="#_x0000_t75" style="width:457.5pt;height:631.5pt">
            <v:imagedata r:id="rId41" o:title=""/>
          </v:shape>
        </w:pict>
      </w:r>
    </w:p>
    <w:p w:rsidR="00574942" w:rsidRDefault="00574942" w:rsidP="00574942">
      <w:pPr>
        <w:pStyle w:val="Titre1"/>
      </w:pPr>
      <w:bookmarkStart w:id="38" w:name="_Toc444095623"/>
      <w:bookmarkStart w:id="39" w:name="_Toc317963429"/>
      <w:r>
        <w:lastRenderedPageBreak/>
        <w:t>Annexe 3 : modèle de maquette pour l’atlas de l’observatoire des jeux</w:t>
      </w:r>
      <w:bookmarkEnd w:id="38"/>
      <w:bookmarkEnd w:id="39"/>
    </w:p>
    <w:p w:rsidR="00574942" w:rsidRDefault="00574942" w:rsidP="00574942">
      <w:pPr>
        <w:spacing w:before="0" w:line="240" w:lineRule="auto"/>
      </w:pPr>
    </w:p>
    <w:p w:rsidR="00574942" w:rsidRDefault="00574942" w:rsidP="00574942">
      <w:pPr>
        <w:spacing w:before="0" w:line="240" w:lineRule="auto"/>
      </w:pPr>
    </w:p>
    <w:p w:rsidR="00574942" w:rsidRDefault="00574942" w:rsidP="00574942">
      <w:pPr>
        <w:spacing w:before="0" w:line="240" w:lineRule="auto"/>
      </w:pPr>
    </w:p>
    <w:p w:rsidR="00574942" w:rsidRDefault="00574942" w:rsidP="00574942">
      <w:pPr>
        <w:spacing w:before="0" w:line="240" w:lineRule="auto"/>
      </w:pPr>
    </w:p>
    <w:p w:rsidR="00574942" w:rsidRDefault="00574942" w:rsidP="00574942">
      <w:pPr>
        <w:spacing w:before="0" w:line="240" w:lineRule="auto"/>
      </w:pPr>
    </w:p>
    <w:p w:rsidR="00574942" w:rsidRDefault="00574942" w:rsidP="00574942">
      <w:pPr>
        <w:spacing w:before="0" w:line="240" w:lineRule="auto"/>
      </w:pPr>
      <w:r w:rsidRPr="00D257C4">
        <w:rPr>
          <w:noProof/>
        </w:rPr>
        <w:drawing>
          <wp:inline distT="0" distB="0" distL="0" distR="0" wp14:anchorId="23E1A7AF" wp14:editId="22EAB7F9">
            <wp:extent cx="8881110" cy="38887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1110" cy="388874"/>
                    </a:xfrm>
                    <a:prstGeom prst="rect">
                      <a:avLst/>
                    </a:prstGeom>
                    <a:noFill/>
                    <a:ln>
                      <a:noFill/>
                    </a:ln>
                  </pic:spPr>
                </pic:pic>
              </a:graphicData>
            </a:graphic>
          </wp:inline>
        </w:drawing>
      </w:r>
    </w:p>
    <w:p w:rsidR="00574942" w:rsidRDefault="00574942" w:rsidP="00574942">
      <w:pPr>
        <w:spacing w:before="0" w:line="240" w:lineRule="auto"/>
      </w:pPr>
    </w:p>
    <w:p w:rsidR="00574942" w:rsidRDefault="00574942" w:rsidP="00574942">
      <w:pPr>
        <w:spacing w:before="0" w:line="240" w:lineRule="auto"/>
      </w:pPr>
    </w:p>
    <w:p w:rsidR="00574942" w:rsidRDefault="00574942" w:rsidP="00574942">
      <w:pPr>
        <w:spacing w:before="0" w:line="240" w:lineRule="auto"/>
      </w:pPr>
    </w:p>
    <w:p w:rsidR="00574942" w:rsidRDefault="00574942" w:rsidP="00574942">
      <w:pPr>
        <w:spacing w:before="0" w:line="240" w:lineRule="auto"/>
      </w:pPr>
      <w:r w:rsidRPr="00D257C4">
        <w:rPr>
          <w:noProof/>
        </w:rPr>
        <w:drawing>
          <wp:inline distT="0" distB="0" distL="0" distR="0" wp14:anchorId="21A0854E" wp14:editId="2626BD81">
            <wp:extent cx="8290131" cy="33623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3">
                      <a:extLst>
                        <a:ext uri="{28A0092B-C50C-407E-A947-70E740481C1C}">
                          <a14:useLocalDpi xmlns:a14="http://schemas.microsoft.com/office/drawing/2010/main" val="0"/>
                        </a:ext>
                      </a:extLst>
                    </a:blip>
                    <a:srcRect t="73" r="16523" b="73"/>
                    <a:stretch/>
                  </pic:blipFill>
                  <pic:spPr bwMode="auto">
                    <a:xfrm>
                      <a:off x="0" y="0"/>
                      <a:ext cx="8295298" cy="3364421"/>
                    </a:xfrm>
                    <a:prstGeom prst="rect">
                      <a:avLst/>
                    </a:prstGeom>
                    <a:noFill/>
                    <a:ln>
                      <a:noFill/>
                    </a:ln>
                    <a:extLst>
                      <a:ext uri="{53640926-AAD7-44D8-BBD7-CCE9431645EC}">
                        <a14:shadowObscured xmlns:a14="http://schemas.microsoft.com/office/drawing/2010/main"/>
                      </a:ext>
                    </a:extLst>
                  </pic:spPr>
                </pic:pic>
              </a:graphicData>
            </a:graphic>
          </wp:inline>
        </w:drawing>
      </w:r>
    </w:p>
    <w:p w:rsidR="00574942" w:rsidRDefault="00574942" w:rsidP="00574942">
      <w:pPr>
        <w:spacing w:before="0" w:line="240" w:lineRule="auto"/>
      </w:pPr>
    </w:p>
    <w:p w:rsidR="00574942" w:rsidRDefault="00574942" w:rsidP="00574942">
      <w:pPr>
        <w:spacing w:before="0" w:line="240" w:lineRule="auto"/>
      </w:pPr>
    </w:p>
    <w:p w:rsidR="005A0019" w:rsidRPr="00C94055" w:rsidRDefault="00574942" w:rsidP="00574942">
      <w:pPr>
        <w:spacing w:before="0" w:line="240" w:lineRule="auto"/>
        <w:ind w:left="-1134" w:right="-1040"/>
        <w:jc w:val="center"/>
      </w:pPr>
      <w:r w:rsidRPr="00BD25AC">
        <w:rPr>
          <w:noProof/>
        </w:rPr>
        <w:lastRenderedPageBreak/>
        <w:drawing>
          <wp:inline distT="0" distB="0" distL="0" distR="0" wp14:anchorId="3740D23C" wp14:editId="4CCE0F81">
            <wp:extent cx="9953624" cy="63150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60293" cy="6319306"/>
                    </a:xfrm>
                    <a:prstGeom prst="rect">
                      <a:avLst/>
                    </a:prstGeom>
                    <a:noFill/>
                    <a:ln>
                      <a:noFill/>
                    </a:ln>
                  </pic:spPr>
                </pic:pic>
              </a:graphicData>
            </a:graphic>
          </wp:inline>
        </w:drawing>
      </w:r>
    </w:p>
    <w:sectPr w:rsidR="005A0019" w:rsidRPr="00C94055" w:rsidSect="00BE2D1B">
      <w:pgSz w:w="16820" w:h="11900" w:orient="landscape"/>
      <w:pgMar w:top="1417" w:right="1417" w:bottom="1417" w:left="1417" w:header="708" w:footer="6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F26" w:rsidRDefault="00592F26" w:rsidP="00E20203">
      <w:r>
        <w:separator/>
      </w:r>
    </w:p>
  </w:endnote>
  <w:endnote w:type="continuationSeparator" w:id="0">
    <w:p w:rsidR="00592F26" w:rsidRDefault="00592F26" w:rsidP="00E2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EA" w:rsidRDefault="007565EA" w:rsidP="00BB577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565EA" w:rsidRDefault="007565EA" w:rsidP="00BB5771">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rsidR="007565EA" w:rsidRDefault="007565EA" w:rsidP="00BB5771">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end"/>
    </w:r>
  </w:p>
  <w:p w:rsidR="007565EA" w:rsidRDefault="007565EA" w:rsidP="0077424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EA" w:rsidRPr="002D79F9" w:rsidRDefault="007565EA" w:rsidP="00BB5771">
    <w:pPr>
      <w:pStyle w:val="Pieddepage"/>
      <w:spacing w:before="0"/>
    </w:pPr>
    <w:r>
      <w:t>Bilan d’activité 2011/15</w:t>
    </w:r>
    <w:r w:rsidRPr="00992E59">
      <w:tab/>
    </w:r>
    <w:r>
      <w:rPr>
        <w:noProof/>
      </w:rPr>
      <w:drawing>
        <wp:anchor distT="0" distB="0" distL="114300" distR="114300" simplePos="0" relativeHeight="251657728" behindDoc="0" locked="1" layoutInCell="1" allowOverlap="1" wp14:anchorId="6DA124AE" wp14:editId="5A090EFC">
          <wp:simplePos x="0" y="0"/>
          <wp:positionH relativeFrom="column">
            <wp:posOffset>1485900</wp:posOffset>
          </wp:positionH>
          <wp:positionV relativeFrom="page">
            <wp:posOffset>9815195</wp:posOffset>
          </wp:positionV>
          <wp:extent cx="2785745" cy="558800"/>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574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E59">
      <w:rPr>
        <w:rStyle w:val="Numrodepage"/>
      </w:rPr>
      <w:tab/>
    </w:r>
    <w:r>
      <w:rPr>
        <w:rStyle w:val="Numrodepage"/>
      </w:rPr>
      <w:fldChar w:fldCharType="begin"/>
    </w:r>
    <w:r>
      <w:rPr>
        <w:rStyle w:val="Numrodepage"/>
      </w:rPr>
      <w:instrText xml:space="preserve">PAGE  </w:instrText>
    </w:r>
    <w:r>
      <w:rPr>
        <w:rStyle w:val="Numrodepage"/>
      </w:rPr>
      <w:fldChar w:fldCharType="separate"/>
    </w:r>
    <w:r w:rsidR="009F6770">
      <w:rPr>
        <w:rStyle w:val="Numrodepage"/>
        <w:noProof/>
      </w:rPr>
      <w:t>24</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F26" w:rsidRDefault="00592F26" w:rsidP="00E20203">
      <w:r>
        <w:separator/>
      </w:r>
    </w:p>
  </w:footnote>
  <w:footnote w:type="continuationSeparator" w:id="0">
    <w:p w:rsidR="00592F26" w:rsidRDefault="00592F26" w:rsidP="00E20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DC6"/>
      </v:shape>
    </w:pict>
  </w:numPicBullet>
  <w:abstractNum w:abstractNumId="0">
    <w:nsid w:val="FFFFFF1D"/>
    <w:multiLevelType w:val="multilevel"/>
    <w:tmpl w:val="DF707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048530"/>
    <w:lvl w:ilvl="0">
      <w:start w:val="1"/>
      <w:numFmt w:val="decimal"/>
      <w:lvlText w:val="%1."/>
      <w:lvlJc w:val="left"/>
      <w:pPr>
        <w:tabs>
          <w:tab w:val="num" w:pos="1492"/>
        </w:tabs>
        <w:ind w:left="1492" w:hanging="360"/>
      </w:pPr>
    </w:lvl>
  </w:abstractNum>
  <w:abstractNum w:abstractNumId="2">
    <w:nsid w:val="FFFFFF7D"/>
    <w:multiLevelType w:val="singleLevel"/>
    <w:tmpl w:val="5BB81162"/>
    <w:lvl w:ilvl="0">
      <w:start w:val="1"/>
      <w:numFmt w:val="decimal"/>
      <w:lvlText w:val="%1."/>
      <w:lvlJc w:val="left"/>
      <w:pPr>
        <w:tabs>
          <w:tab w:val="num" w:pos="1209"/>
        </w:tabs>
        <w:ind w:left="1209" w:hanging="360"/>
      </w:pPr>
    </w:lvl>
  </w:abstractNum>
  <w:abstractNum w:abstractNumId="3">
    <w:nsid w:val="FFFFFF7E"/>
    <w:multiLevelType w:val="singleLevel"/>
    <w:tmpl w:val="F8C2E08E"/>
    <w:lvl w:ilvl="0">
      <w:start w:val="1"/>
      <w:numFmt w:val="decimal"/>
      <w:lvlText w:val="%1."/>
      <w:lvlJc w:val="left"/>
      <w:pPr>
        <w:tabs>
          <w:tab w:val="num" w:pos="926"/>
        </w:tabs>
        <w:ind w:left="926" w:hanging="360"/>
      </w:pPr>
    </w:lvl>
  </w:abstractNum>
  <w:abstractNum w:abstractNumId="4">
    <w:nsid w:val="FFFFFF7F"/>
    <w:multiLevelType w:val="singleLevel"/>
    <w:tmpl w:val="785CC17A"/>
    <w:lvl w:ilvl="0">
      <w:start w:val="1"/>
      <w:numFmt w:val="decimal"/>
      <w:lvlText w:val="%1."/>
      <w:lvlJc w:val="left"/>
      <w:pPr>
        <w:tabs>
          <w:tab w:val="num" w:pos="643"/>
        </w:tabs>
        <w:ind w:left="643" w:hanging="360"/>
      </w:pPr>
    </w:lvl>
  </w:abstractNum>
  <w:abstractNum w:abstractNumId="5">
    <w:nsid w:val="FFFFFF80"/>
    <w:multiLevelType w:val="singleLevel"/>
    <w:tmpl w:val="5836A8F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1100A0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C16EBB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1F014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C068EBE"/>
    <w:lvl w:ilvl="0">
      <w:start w:val="1"/>
      <w:numFmt w:val="decimal"/>
      <w:lvlText w:val="%1."/>
      <w:lvlJc w:val="left"/>
      <w:pPr>
        <w:tabs>
          <w:tab w:val="num" w:pos="360"/>
        </w:tabs>
        <w:ind w:left="360" w:hanging="360"/>
      </w:pPr>
    </w:lvl>
  </w:abstractNum>
  <w:abstractNum w:abstractNumId="10">
    <w:nsid w:val="FFFFFF89"/>
    <w:multiLevelType w:val="singleLevel"/>
    <w:tmpl w:val="98FEE436"/>
    <w:lvl w:ilvl="0">
      <w:start w:val="1"/>
      <w:numFmt w:val="bullet"/>
      <w:pStyle w:val="Listepuces"/>
      <w:lvlText w:val=""/>
      <w:lvlJc w:val="left"/>
      <w:pPr>
        <w:tabs>
          <w:tab w:val="num" w:pos="360"/>
        </w:tabs>
        <w:ind w:left="360" w:hanging="360"/>
      </w:pPr>
      <w:rPr>
        <w:rFonts w:ascii="Symbol" w:hAnsi="Symbol" w:hint="default"/>
      </w:rPr>
    </w:lvl>
  </w:abstractNum>
  <w:abstractNum w:abstractNumId="11">
    <w:nsid w:val="0E337654"/>
    <w:multiLevelType w:val="multilevel"/>
    <w:tmpl w:val="AC0CED8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C40D8E"/>
    <w:multiLevelType w:val="hybridMultilevel"/>
    <w:tmpl w:val="316A350A"/>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3">
    <w:nsid w:val="1812301D"/>
    <w:multiLevelType w:val="hybridMultilevel"/>
    <w:tmpl w:val="E9D2A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6903CF"/>
    <w:multiLevelType w:val="hybridMultilevel"/>
    <w:tmpl w:val="A44C73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874F3D"/>
    <w:multiLevelType w:val="hybridMultilevel"/>
    <w:tmpl w:val="56D489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79596E"/>
    <w:multiLevelType w:val="hybridMultilevel"/>
    <w:tmpl w:val="2C76F110"/>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F587CA5"/>
    <w:multiLevelType w:val="hybridMultilevel"/>
    <w:tmpl w:val="42F2A4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E25FCC"/>
    <w:multiLevelType w:val="hybridMultilevel"/>
    <w:tmpl w:val="917EFF54"/>
    <w:lvl w:ilvl="0" w:tplc="F8FEE4AA">
      <w:start w:val="1"/>
      <w:numFmt w:val="bullet"/>
      <w:lvlText w:val=""/>
      <w:lvlJc w:val="left"/>
      <w:pPr>
        <w:tabs>
          <w:tab w:val="num" w:pos="284"/>
        </w:tabs>
        <w:ind w:left="284" w:firstLine="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1FF3CA9"/>
    <w:multiLevelType w:val="hybridMultilevel"/>
    <w:tmpl w:val="DD9E91F8"/>
    <w:lvl w:ilvl="0" w:tplc="AFF03B8C">
      <w:start w:val="1"/>
      <w:numFmt w:val="bullet"/>
      <w:lvlText w:val="-"/>
      <w:lvlJc w:val="left"/>
      <w:pPr>
        <w:ind w:left="1080" w:hanging="360"/>
      </w:pPr>
      <w:rPr>
        <w:rFonts w:ascii="Calibri" w:eastAsia="MS Mincho" w:hAnsi="Calibri"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nsid w:val="44CE4939"/>
    <w:multiLevelType w:val="multilevel"/>
    <w:tmpl w:val="73F4B49A"/>
    <w:lvl w:ilvl="0">
      <w:start w:val="1"/>
      <w:numFmt w:val="bullet"/>
      <w:lvlText w:val=""/>
      <w:lvlJc w:val="left"/>
      <w:pPr>
        <w:tabs>
          <w:tab w:val="num" w:pos="284"/>
        </w:tabs>
        <w:ind w:left="284" w:firstLine="0"/>
      </w:pPr>
      <w:rPr>
        <w:rFonts w:ascii="Symbol" w:hAnsi="Symbol" w:hint="default"/>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6835B0F"/>
    <w:multiLevelType w:val="hybridMultilevel"/>
    <w:tmpl w:val="305C8698"/>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8CC0AFB"/>
    <w:multiLevelType w:val="hybridMultilevel"/>
    <w:tmpl w:val="C7C0B37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31248C"/>
    <w:multiLevelType w:val="multilevel"/>
    <w:tmpl w:val="243EBFA6"/>
    <w:lvl w:ilvl="0">
      <w:start w:val="1"/>
      <w:numFmt w:val="bullet"/>
      <w:lvlText w:val=""/>
      <w:lvlJc w:val="left"/>
      <w:pPr>
        <w:tabs>
          <w:tab w:val="num" w:pos="284"/>
        </w:tabs>
        <w:ind w:left="28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CB3DBC"/>
    <w:multiLevelType w:val="hybridMultilevel"/>
    <w:tmpl w:val="3CC81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F828E2"/>
    <w:multiLevelType w:val="multilevel"/>
    <w:tmpl w:val="4A32F87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8B69BA"/>
    <w:multiLevelType w:val="hybridMultilevel"/>
    <w:tmpl w:val="AB2C5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CE50428"/>
    <w:multiLevelType w:val="hybridMultilevel"/>
    <w:tmpl w:val="1E8435E0"/>
    <w:lvl w:ilvl="0" w:tplc="FFFFFFFF">
      <w:start w:val="1"/>
      <w:numFmt w:val="bullet"/>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8">
    <w:nsid w:val="5DCC20E7"/>
    <w:multiLevelType w:val="hybridMultilevel"/>
    <w:tmpl w:val="4074F4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B45C9F"/>
    <w:multiLevelType w:val="multilevel"/>
    <w:tmpl w:val="040C001D"/>
    <w:lvl w:ilvl="0">
      <w:start w:val="1"/>
      <w:numFmt w:val="bullet"/>
      <w:lvlText w:val=""/>
      <w:lvlJc w:val="left"/>
      <w:pPr>
        <w:tabs>
          <w:tab w:val="num" w:pos="360"/>
        </w:tabs>
        <w:ind w:left="1068" w:hanging="360"/>
      </w:pPr>
      <w:rPr>
        <w:rFonts w:ascii="Symbol" w:hAnsi="Symbol" w:hint="default"/>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D5F2F4B"/>
    <w:multiLevelType w:val="hybridMultilevel"/>
    <w:tmpl w:val="0F5A6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29"/>
  </w:num>
  <w:num w:numId="12">
    <w:abstractNumId w:val="29"/>
  </w:num>
  <w:num w:numId="13">
    <w:abstractNumId w:val="29"/>
  </w:num>
  <w:num w:numId="14">
    <w:abstractNumId w:val="20"/>
  </w:num>
  <w:num w:numId="15">
    <w:abstractNumId w:val="18"/>
  </w:num>
  <w:num w:numId="16">
    <w:abstractNumId w:val="23"/>
  </w:num>
  <w:num w:numId="17">
    <w:abstractNumId w:val="27"/>
  </w:num>
  <w:num w:numId="18">
    <w:abstractNumId w:val="12"/>
  </w:num>
  <w:num w:numId="19">
    <w:abstractNumId w:val="24"/>
  </w:num>
  <w:num w:numId="20">
    <w:abstractNumId w:val="0"/>
  </w:num>
  <w:num w:numId="21">
    <w:abstractNumId w:val="10"/>
  </w:num>
  <w:num w:numId="22">
    <w:abstractNumId w:val="26"/>
  </w:num>
  <w:num w:numId="23">
    <w:abstractNumId w:val="14"/>
  </w:num>
  <w:num w:numId="24">
    <w:abstractNumId w:val="13"/>
  </w:num>
  <w:num w:numId="25">
    <w:abstractNumId w:val="28"/>
  </w:num>
  <w:num w:numId="26">
    <w:abstractNumId w:val="17"/>
  </w:num>
  <w:num w:numId="27">
    <w:abstractNumId w:val="19"/>
  </w:num>
  <w:num w:numId="28">
    <w:abstractNumId w:val="30"/>
  </w:num>
  <w:num w:numId="29">
    <w:abstractNumId w:val="21"/>
  </w:num>
  <w:num w:numId="30">
    <w:abstractNumId w:val="16"/>
  </w:num>
  <w:num w:numId="31">
    <w:abstractNumId w:val="11"/>
  </w:num>
  <w:num w:numId="32">
    <w:abstractNumId w:val="22"/>
  </w:num>
  <w:num w:numId="33">
    <w:abstractNumId w:val="2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EE"/>
    <w:rsid w:val="00002D83"/>
    <w:rsid w:val="00003296"/>
    <w:rsid w:val="00006827"/>
    <w:rsid w:val="00010BF6"/>
    <w:rsid w:val="0002036C"/>
    <w:rsid w:val="0002435D"/>
    <w:rsid w:val="000263D0"/>
    <w:rsid w:val="000312C2"/>
    <w:rsid w:val="0003468E"/>
    <w:rsid w:val="00034CDB"/>
    <w:rsid w:val="00045594"/>
    <w:rsid w:val="0008325A"/>
    <w:rsid w:val="000C27D7"/>
    <w:rsid w:val="000C7291"/>
    <w:rsid w:val="000E4E64"/>
    <w:rsid w:val="000E6D10"/>
    <w:rsid w:val="000F0E35"/>
    <w:rsid w:val="000F17FA"/>
    <w:rsid w:val="000F5D24"/>
    <w:rsid w:val="00132DDF"/>
    <w:rsid w:val="001337D9"/>
    <w:rsid w:val="001449AE"/>
    <w:rsid w:val="00144ACA"/>
    <w:rsid w:val="0015331E"/>
    <w:rsid w:val="00153E5B"/>
    <w:rsid w:val="001672DE"/>
    <w:rsid w:val="00174852"/>
    <w:rsid w:val="0017722F"/>
    <w:rsid w:val="0017796C"/>
    <w:rsid w:val="001958F2"/>
    <w:rsid w:val="001A1166"/>
    <w:rsid w:val="001A5AB9"/>
    <w:rsid w:val="001B1FDA"/>
    <w:rsid w:val="001B6C6E"/>
    <w:rsid w:val="001C3C87"/>
    <w:rsid w:val="001C5191"/>
    <w:rsid w:val="001C61A9"/>
    <w:rsid w:val="001D06DF"/>
    <w:rsid w:val="001E263C"/>
    <w:rsid w:val="001E323A"/>
    <w:rsid w:val="001E6A86"/>
    <w:rsid w:val="001F021B"/>
    <w:rsid w:val="001F1ACE"/>
    <w:rsid w:val="001F7F09"/>
    <w:rsid w:val="00215724"/>
    <w:rsid w:val="00222B2A"/>
    <w:rsid w:val="002363CF"/>
    <w:rsid w:val="00240DEE"/>
    <w:rsid w:val="0025328B"/>
    <w:rsid w:val="00254CD9"/>
    <w:rsid w:val="002649F8"/>
    <w:rsid w:val="00290513"/>
    <w:rsid w:val="002A43DE"/>
    <w:rsid w:val="002B7589"/>
    <w:rsid w:val="002C381F"/>
    <w:rsid w:val="002C3B4B"/>
    <w:rsid w:val="002C61BD"/>
    <w:rsid w:val="002D6FC6"/>
    <w:rsid w:val="002D79F9"/>
    <w:rsid w:val="002E51BD"/>
    <w:rsid w:val="002E697B"/>
    <w:rsid w:val="002F274E"/>
    <w:rsid w:val="00301955"/>
    <w:rsid w:val="00316AFA"/>
    <w:rsid w:val="00317E7B"/>
    <w:rsid w:val="003202D1"/>
    <w:rsid w:val="00325C1F"/>
    <w:rsid w:val="0033344A"/>
    <w:rsid w:val="00333FCF"/>
    <w:rsid w:val="0034750F"/>
    <w:rsid w:val="0035443E"/>
    <w:rsid w:val="00371853"/>
    <w:rsid w:val="00375B85"/>
    <w:rsid w:val="00383360"/>
    <w:rsid w:val="00384070"/>
    <w:rsid w:val="003875D7"/>
    <w:rsid w:val="0039203B"/>
    <w:rsid w:val="00393E55"/>
    <w:rsid w:val="0039717E"/>
    <w:rsid w:val="003A2EE0"/>
    <w:rsid w:val="003D138E"/>
    <w:rsid w:val="003D53B5"/>
    <w:rsid w:val="003E48CB"/>
    <w:rsid w:val="003E7DAF"/>
    <w:rsid w:val="003F2B53"/>
    <w:rsid w:val="00401AD1"/>
    <w:rsid w:val="00404C7E"/>
    <w:rsid w:val="00404FD9"/>
    <w:rsid w:val="00407B91"/>
    <w:rsid w:val="00412B89"/>
    <w:rsid w:val="0042404B"/>
    <w:rsid w:val="00425374"/>
    <w:rsid w:val="0044002A"/>
    <w:rsid w:val="0044111D"/>
    <w:rsid w:val="0044701D"/>
    <w:rsid w:val="0045097F"/>
    <w:rsid w:val="004519F9"/>
    <w:rsid w:val="00462A76"/>
    <w:rsid w:val="00485AA8"/>
    <w:rsid w:val="004930D8"/>
    <w:rsid w:val="00497AB0"/>
    <w:rsid w:val="004A063C"/>
    <w:rsid w:val="004A0C02"/>
    <w:rsid w:val="004A6C23"/>
    <w:rsid w:val="004C10DB"/>
    <w:rsid w:val="004F4670"/>
    <w:rsid w:val="0050043A"/>
    <w:rsid w:val="005023AC"/>
    <w:rsid w:val="00504BB2"/>
    <w:rsid w:val="00505C43"/>
    <w:rsid w:val="00517602"/>
    <w:rsid w:val="00520D2E"/>
    <w:rsid w:val="005215F0"/>
    <w:rsid w:val="00526036"/>
    <w:rsid w:val="00531258"/>
    <w:rsid w:val="00531AE8"/>
    <w:rsid w:val="00533772"/>
    <w:rsid w:val="005373D2"/>
    <w:rsid w:val="00543694"/>
    <w:rsid w:val="005442D9"/>
    <w:rsid w:val="00546B34"/>
    <w:rsid w:val="00555555"/>
    <w:rsid w:val="0056158C"/>
    <w:rsid w:val="005643F9"/>
    <w:rsid w:val="00566CF2"/>
    <w:rsid w:val="005708CB"/>
    <w:rsid w:val="00574942"/>
    <w:rsid w:val="005859CA"/>
    <w:rsid w:val="00585F93"/>
    <w:rsid w:val="00592F26"/>
    <w:rsid w:val="005A0019"/>
    <w:rsid w:val="005B25B9"/>
    <w:rsid w:val="005B465C"/>
    <w:rsid w:val="005C01B0"/>
    <w:rsid w:val="005E12A8"/>
    <w:rsid w:val="0060767E"/>
    <w:rsid w:val="006100F0"/>
    <w:rsid w:val="00611125"/>
    <w:rsid w:val="00634FA9"/>
    <w:rsid w:val="00635A25"/>
    <w:rsid w:val="0063670F"/>
    <w:rsid w:val="00643BA3"/>
    <w:rsid w:val="006460FF"/>
    <w:rsid w:val="00650665"/>
    <w:rsid w:val="006516FE"/>
    <w:rsid w:val="00662FDF"/>
    <w:rsid w:val="00664F4E"/>
    <w:rsid w:val="00681E10"/>
    <w:rsid w:val="00685842"/>
    <w:rsid w:val="006864D5"/>
    <w:rsid w:val="006E22E4"/>
    <w:rsid w:val="006E3514"/>
    <w:rsid w:val="00702345"/>
    <w:rsid w:val="007345A3"/>
    <w:rsid w:val="007516AF"/>
    <w:rsid w:val="00755BFB"/>
    <w:rsid w:val="007565EA"/>
    <w:rsid w:val="0076418A"/>
    <w:rsid w:val="007667B3"/>
    <w:rsid w:val="00774241"/>
    <w:rsid w:val="00782AEE"/>
    <w:rsid w:val="00784883"/>
    <w:rsid w:val="0079026B"/>
    <w:rsid w:val="00796429"/>
    <w:rsid w:val="00797C4A"/>
    <w:rsid w:val="007B3140"/>
    <w:rsid w:val="007B5610"/>
    <w:rsid w:val="007B6E62"/>
    <w:rsid w:val="007C2C68"/>
    <w:rsid w:val="007D1823"/>
    <w:rsid w:val="007E05BD"/>
    <w:rsid w:val="007E47C6"/>
    <w:rsid w:val="00811E5C"/>
    <w:rsid w:val="008467E6"/>
    <w:rsid w:val="00854A35"/>
    <w:rsid w:val="00880BC6"/>
    <w:rsid w:val="008861CA"/>
    <w:rsid w:val="008901A7"/>
    <w:rsid w:val="00891E4D"/>
    <w:rsid w:val="008970CD"/>
    <w:rsid w:val="008A2393"/>
    <w:rsid w:val="008A50E5"/>
    <w:rsid w:val="008A615E"/>
    <w:rsid w:val="008B2C50"/>
    <w:rsid w:val="008B5FC3"/>
    <w:rsid w:val="008C6984"/>
    <w:rsid w:val="008D3CA7"/>
    <w:rsid w:val="008E2E5C"/>
    <w:rsid w:val="008F1343"/>
    <w:rsid w:val="00906CEE"/>
    <w:rsid w:val="00931507"/>
    <w:rsid w:val="00932513"/>
    <w:rsid w:val="00943CBB"/>
    <w:rsid w:val="00946C54"/>
    <w:rsid w:val="00974CA9"/>
    <w:rsid w:val="009877E6"/>
    <w:rsid w:val="00992E59"/>
    <w:rsid w:val="009B02A2"/>
    <w:rsid w:val="009B7B56"/>
    <w:rsid w:val="009C300B"/>
    <w:rsid w:val="009D7300"/>
    <w:rsid w:val="009E42F6"/>
    <w:rsid w:val="009F6770"/>
    <w:rsid w:val="00A068E4"/>
    <w:rsid w:val="00A06FC5"/>
    <w:rsid w:val="00A17A31"/>
    <w:rsid w:val="00A27BAF"/>
    <w:rsid w:val="00A45531"/>
    <w:rsid w:val="00A60CC2"/>
    <w:rsid w:val="00A6411B"/>
    <w:rsid w:val="00A779E2"/>
    <w:rsid w:val="00A80571"/>
    <w:rsid w:val="00A80A44"/>
    <w:rsid w:val="00A9001B"/>
    <w:rsid w:val="00A93B7D"/>
    <w:rsid w:val="00AA418D"/>
    <w:rsid w:val="00AB18B3"/>
    <w:rsid w:val="00AB65E2"/>
    <w:rsid w:val="00AC4435"/>
    <w:rsid w:val="00AD38AA"/>
    <w:rsid w:val="00AD3CAD"/>
    <w:rsid w:val="00AE46AC"/>
    <w:rsid w:val="00AE74DA"/>
    <w:rsid w:val="00AF2708"/>
    <w:rsid w:val="00AF3052"/>
    <w:rsid w:val="00B03DF7"/>
    <w:rsid w:val="00B11733"/>
    <w:rsid w:val="00B12C0F"/>
    <w:rsid w:val="00B30AEC"/>
    <w:rsid w:val="00B41884"/>
    <w:rsid w:val="00B50012"/>
    <w:rsid w:val="00B66E93"/>
    <w:rsid w:val="00B755AF"/>
    <w:rsid w:val="00B75A0D"/>
    <w:rsid w:val="00B778A3"/>
    <w:rsid w:val="00B8052B"/>
    <w:rsid w:val="00B907A0"/>
    <w:rsid w:val="00BA5C67"/>
    <w:rsid w:val="00BB308C"/>
    <w:rsid w:val="00BB5771"/>
    <w:rsid w:val="00BC0FC7"/>
    <w:rsid w:val="00BC4C4A"/>
    <w:rsid w:val="00BD222D"/>
    <w:rsid w:val="00BE1B48"/>
    <w:rsid w:val="00BE1F52"/>
    <w:rsid w:val="00BE2132"/>
    <w:rsid w:val="00BE2D1B"/>
    <w:rsid w:val="00BE483C"/>
    <w:rsid w:val="00BF5E9E"/>
    <w:rsid w:val="00C01B13"/>
    <w:rsid w:val="00C05C78"/>
    <w:rsid w:val="00C126A1"/>
    <w:rsid w:val="00C13403"/>
    <w:rsid w:val="00C15C03"/>
    <w:rsid w:val="00C52777"/>
    <w:rsid w:val="00C52E7B"/>
    <w:rsid w:val="00C5310A"/>
    <w:rsid w:val="00C65D23"/>
    <w:rsid w:val="00C720A4"/>
    <w:rsid w:val="00C7756E"/>
    <w:rsid w:val="00C77765"/>
    <w:rsid w:val="00C82187"/>
    <w:rsid w:val="00C82E0E"/>
    <w:rsid w:val="00C83125"/>
    <w:rsid w:val="00C858A0"/>
    <w:rsid w:val="00C93017"/>
    <w:rsid w:val="00C94055"/>
    <w:rsid w:val="00CA0363"/>
    <w:rsid w:val="00CC4582"/>
    <w:rsid w:val="00CD004C"/>
    <w:rsid w:val="00CE77CE"/>
    <w:rsid w:val="00D034F8"/>
    <w:rsid w:val="00D06310"/>
    <w:rsid w:val="00D26FE5"/>
    <w:rsid w:val="00D31BA7"/>
    <w:rsid w:val="00D31C95"/>
    <w:rsid w:val="00D32366"/>
    <w:rsid w:val="00D405A6"/>
    <w:rsid w:val="00D62D5F"/>
    <w:rsid w:val="00D63EC2"/>
    <w:rsid w:val="00D7205F"/>
    <w:rsid w:val="00D8421D"/>
    <w:rsid w:val="00D85846"/>
    <w:rsid w:val="00DA2B08"/>
    <w:rsid w:val="00DB5ACF"/>
    <w:rsid w:val="00DB7269"/>
    <w:rsid w:val="00DC3529"/>
    <w:rsid w:val="00DD3B1C"/>
    <w:rsid w:val="00DD50D5"/>
    <w:rsid w:val="00DD637C"/>
    <w:rsid w:val="00DD7276"/>
    <w:rsid w:val="00DE503F"/>
    <w:rsid w:val="00DE6778"/>
    <w:rsid w:val="00DF67FE"/>
    <w:rsid w:val="00E07449"/>
    <w:rsid w:val="00E1178D"/>
    <w:rsid w:val="00E11F74"/>
    <w:rsid w:val="00E15E92"/>
    <w:rsid w:val="00E170A2"/>
    <w:rsid w:val="00E20203"/>
    <w:rsid w:val="00E231F6"/>
    <w:rsid w:val="00E40AB8"/>
    <w:rsid w:val="00E4126C"/>
    <w:rsid w:val="00E43F3E"/>
    <w:rsid w:val="00E46A07"/>
    <w:rsid w:val="00E52F1D"/>
    <w:rsid w:val="00E54806"/>
    <w:rsid w:val="00E612DA"/>
    <w:rsid w:val="00E6334F"/>
    <w:rsid w:val="00E74F74"/>
    <w:rsid w:val="00E77090"/>
    <w:rsid w:val="00E834EC"/>
    <w:rsid w:val="00E83A6E"/>
    <w:rsid w:val="00E92BF1"/>
    <w:rsid w:val="00EA3D14"/>
    <w:rsid w:val="00EA667D"/>
    <w:rsid w:val="00EC1612"/>
    <w:rsid w:val="00ED2995"/>
    <w:rsid w:val="00EE4AD1"/>
    <w:rsid w:val="00EE7E96"/>
    <w:rsid w:val="00EF5FB3"/>
    <w:rsid w:val="00F114F8"/>
    <w:rsid w:val="00F126D7"/>
    <w:rsid w:val="00F14B81"/>
    <w:rsid w:val="00F24863"/>
    <w:rsid w:val="00F41F54"/>
    <w:rsid w:val="00F46C9D"/>
    <w:rsid w:val="00F57829"/>
    <w:rsid w:val="00F605A3"/>
    <w:rsid w:val="00F66B67"/>
    <w:rsid w:val="00F6718B"/>
    <w:rsid w:val="00F75736"/>
    <w:rsid w:val="00F9107F"/>
    <w:rsid w:val="00F91A9E"/>
    <w:rsid w:val="00FA12A3"/>
    <w:rsid w:val="00FB3516"/>
    <w:rsid w:val="00FB456B"/>
    <w:rsid w:val="00FC0469"/>
    <w:rsid w:val="00FC39C1"/>
    <w:rsid w:val="00FC4170"/>
    <w:rsid w:val="00FD0AD8"/>
    <w:rsid w:val="00FE0C83"/>
    <w:rsid w:val="00FE4DA1"/>
    <w:rsid w:val="00FE639A"/>
    <w:rsid w:val="00FF042D"/>
    <w:rsid w:val="00FF7D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8B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74DA"/>
    <w:pPr>
      <w:spacing w:before="200" w:line="276" w:lineRule="auto"/>
    </w:pPr>
  </w:style>
  <w:style w:type="paragraph" w:styleId="Titre1">
    <w:name w:val="heading 1"/>
    <w:basedOn w:val="Normal"/>
    <w:next w:val="Normal"/>
    <w:link w:val="Titre1Car"/>
    <w:uiPriority w:val="9"/>
    <w:qFormat/>
    <w:rsid w:val="00E231F6"/>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Titre2">
    <w:name w:val="heading 2"/>
    <w:basedOn w:val="Normal"/>
    <w:next w:val="Normal"/>
    <w:link w:val="Titre2Car"/>
    <w:uiPriority w:val="9"/>
    <w:unhideWhenUsed/>
    <w:qFormat/>
    <w:rsid w:val="00E231F6"/>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Titre3">
    <w:name w:val="heading 3"/>
    <w:basedOn w:val="Normal"/>
    <w:next w:val="Normal"/>
    <w:link w:val="Titre3Car"/>
    <w:uiPriority w:val="9"/>
    <w:unhideWhenUsed/>
    <w:qFormat/>
    <w:rsid w:val="00412B89"/>
    <w:pPr>
      <w:spacing w:before="300"/>
      <w:outlineLvl w:val="2"/>
    </w:pPr>
    <w:rPr>
      <w:b/>
      <w:caps/>
      <w:color w:val="548DD4" w:themeColor="text2" w:themeTint="99"/>
      <w:spacing w:val="15"/>
      <w:sz w:val="22"/>
      <w:szCs w:val="22"/>
    </w:rPr>
  </w:style>
  <w:style w:type="paragraph" w:styleId="Titre4">
    <w:name w:val="heading 4"/>
    <w:basedOn w:val="Normal"/>
    <w:next w:val="Normal"/>
    <w:link w:val="Titre4Car"/>
    <w:uiPriority w:val="9"/>
    <w:unhideWhenUsed/>
    <w:qFormat/>
    <w:rsid w:val="00F41F54"/>
    <w:pPr>
      <w:spacing w:before="240"/>
      <w:outlineLvl w:val="3"/>
    </w:pPr>
    <w:rPr>
      <w:smallCaps/>
      <w:color w:val="365F91"/>
      <w:spacing w:val="10"/>
    </w:rPr>
  </w:style>
  <w:style w:type="paragraph" w:styleId="Titre5">
    <w:name w:val="heading 5"/>
    <w:basedOn w:val="Normal"/>
    <w:next w:val="Normal"/>
    <w:link w:val="Titre5Car"/>
    <w:uiPriority w:val="9"/>
    <w:semiHidden/>
    <w:unhideWhenUsed/>
    <w:qFormat/>
    <w:rsid w:val="00E231F6"/>
    <w:pPr>
      <w:pBdr>
        <w:bottom w:val="single" w:sz="6" w:space="1" w:color="4F81BD"/>
      </w:pBdr>
      <w:spacing w:before="300"/>
      <w:outlineLvl w:val="4"/>
    </w:pPr>
    <w:rPr>
      <w:caps/>
      <w:color w:val="365F91"/>
      <w:spacing w:val="10"/>
      <w:sz w:val="22"/>
      <w:szCs w:val="22"/>
    </w:rPr>
  </w:style>
  <w:style w:type="paragraph" w:styleId="Titre6">
    <w:name w:val="heading 6"/>
    <w:basedOn w:val="Normal"/>
    <w:next w:val="Normal"/>
    <w:link w:val="Titre6Car"/>
    <w:uiPriority w:val="9"/>
    <w:semiHidden/>
    <w:unhideWhenUsed/>
    <w:qFormat/>
    <w:rsid w:val="00E231F6"/>
    <w:pPr>
      <w:pBdr>
        <w:bottom w:val="dotted" w:sz="6" w:space="1" w:color="4F81BD"/>
      </w:pBdr>
      <w:spacing w:before="300"/>
      <w:outlineLvl w:val="5"/>
    </w:pPr>
    <w:rPr>
      <w:caps/>
      <w:color w:val="365F91"/>
      <w:spacing w:val="10"/>
      <w:sz w:val="22"/>
      <w:szCs w:val="22"/>
    </w:rPr>
  </w:style>
  <w:style w:type="paragraph" w:styleId="Titre7">
    <w:name w:val="heading 7"/>
    <w:basedOn w:val="Normal"/>
    <w:next w:val="Normal"/>
    <w:link w:val="Titre7Car"/>
    <w:uiPriority w:val="9"/>
    <w:semiHidden/>
    <w:unhideWhenUsed/>
    <w:qFormat/>
    <w:rsid w:val="00E231F6"/>
    <w:pPr>
      <w:spacing w:before="300"/>
      <w:outlineLvl w:val="6"/>
    </w:pPr>
    <w:rPr>
      <w:caps/>
      <w:color w:val="365F91"/>
      <w:spacing w:val="10"/>
      <w:sz w:val="22"/>
      <w:szCs w:val="22"/>
    </w:rPr>
  </w:style>
  <w:style w:type="paragraph" w:styleId="Titre8">
    <w:name w:val="heading 8"/>
    <w:basedOn w:val="Normal"/>
    <w:next w:val="Normal"/>
    <w:link w:val="Titre8Car"/>
    <w:uiPriority w:val="9"/>
    <w:semiHidden/>
    <w:unhideWhenUsed/>
    <w:qFormat/>
    <w:rsid w:val="00E231F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E231F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utexte">
    <w:name w:val="Corps du texte"/>
    <w:basedOn w:val="Normal"/>
    <w:link w:val="CorpsdutexteCar"/>
    <w:rsid w:val="00932513"/>
  </w:style>
  <w:style w:type="paragraph" w:customStyle="1" w:styleId="Corpsdutableau">
    <w:name w:val="Corps du tableau"/>
    <w:basedOn w:val="Corpsdutexte"/>
    <w:rsid w:val="00A779E2"/>
    <w:rPr>
      <w:sz w:val="18"/>
    </w:rPr>
  </w:style>
  <w:style w:type="paragraph" w:customStyle="1" w:styleId="Titretabfig">
    <w:name w:val="Titre tab/fig"/>
    <w:basedOn w:val="Corpsdutexte"/>
    <w:next w:val="Corpsdutexte"/>
    <w:rsid w:val="002A43DE"/>
    <w:pPr>
      <w:spacing w:after="100"/>
    </w:pPr>
    <w:rPr>
      <w:b/>
    </w:rPr>
  </w:style>
  <w:style w:type="paragraph" w:customStyle="1" w:styleId="Basdepagenote">
    <w:name w:val="Bas de page (note)"/>
    <w:basedOn w:val="Corpsdutexte"/>
    <w:next w:val="Corpsdutexte"/>
    <w:rsid w:val="00E07449"/>
    <w:rPr>
      <w:sz w:val="16"/>
    </w:rPr>
  </w:style>
  <w:style w:type="paragraph" w:styleId="En-tte">
    <w:name w:val="header"/>
    <w:basedOn w:val="Normal"/>
    <w:semiHidden/>
    <w:rsid w:val="00D7205F"/>
    <w:pPr>
      <w:tabs>
        <w:tab w:val="center" w:pos="4536"/>
        <w:tab w:val="right" w:pos="9072"/>
      </w:tabs>
    </w:pPr>
  </w:style>
  <w:style w:type="paragraph" w:styleId="Pieddepage">
    <w:name w:val="footer"/>
    <w:basedOn w:val="Normal"/>
    <w:semiHidden/>
    <w:rsid w:val="00D7205F"/>
    <w:pPr>
      <w:tabs>
        <w:tab w:val="center" w:pos="4536"/>
        <w:tab w:val="right" w:pos="9072"/>
      </w:tabs>
    </w:pPr>
  </w:style>
  <w:style w:type="character" w:styleId="Numrodepage">
    <w:name w:val="page number"/>
    <w:basedOn w:val="Policepardfaut"/>
    <w:rsid w:val="00D7205F"/>
  </w:style>
  <w:style w:type="character" w:customStyle="1" w:styleId="CorpsdutexteCar">
    <w:name w:val="Corps du texte Car"/>
    <w:link w:val="Corpsdutexte"/>
    <w:rsid w:val="00DF67FE"/>
    <w:rPr>
      <w:rFonts w:ascii="Book Antiqua" w:hAnsi="Book Antiqua"/>
      <w:sz w:val="22"/>
      <w:szCs w:val="24"/>
      <w:lang w:val="fr-FR" w:eastAsia="fr-FR" w:bidi="ar-SA"/>
    </w:rPr>
  </w:style>
  <w:style w:type="character" w:styleId="Marquedecommentaire">
    <w:name w:val="annotation reference"/>
    <w:semiHidden/>
    <w:rsid w:val="002649F8"/>
    <w:rPr>
      <w:sz w:val="16"/>
      <w:szCs w:val="16"/>
    </w:rPr>
  </w:style>
  <w:style w:type="paragraph" w:styleId="Commentaire">
    <w:name w:val="annotation text"/>
    <w:basedOn w:val="Normal"/>
    <w:semiHidden/>
    <w:rsid w:val="002649F8"/>
  </w:style>
  <w:style w:type="paragraph" w:styleId="Objetducommentaire">
    <w:name w:val="annotation subject"/>
    <w:basedOn w:val="Commentaire"/>
    <w:next w:val="Commentaire"/>
    <w:semiHidden/>
    <w:rsid w:val="002649F8"/>
    <w:rPr>
      <w:b/>
      <w:bCs/>
    </w:rPr>
  </w:style>
  <w:style w:type="paragraph" w:styleId="Textedebulles">
    <w:name w:val="Balloon Text"/>
    <w:basedOn w:val="Normal"/>
    <w:semiHidden/>
    <w:rsid w:val="002649F8"/>
    <w:rPr>
      <w:rFonts w:ascii="Tahoma" w:hAnsi="Tahoma" w:cs="Tahoma"/>
      <w:sz w:val="16"/>
      <w:szCs w:val="16"/>
    </w:rPr>
  </w:style>
  <w:style w:type="character" w:customStyle="1" w:styleId="Titre3Car">
    <w:name w:val="Titre 3 Car"/>
    <w:link w:val="Titre3"/>
    <w:uiPriority w:val="9"/>
    <w:rsid w:val="00412B89"/>
    <w:rPr>
      <w:b/>
      <w:caps/>
      <w:color w:val="548DD4" w:themeColor="text2" w:themeTint="99"/>
      <w:spacing w:val="15"/>
      <w:sz w:val="22"/>
      <w:szCs w:val="22"/>
    </w:rPr>
  </w:style>
  <w:style w:type="character" w:customStyle="1" w:styleId="Titre2Car">
    <w:name w:val="Titre 2 Car"/>
    <w:link w:val="Titre2"/>
    <w:uiPriority w:val="9"/>
    <w:rsid w:val="00E231F6"/>
    <w:rPr>
      <w:caps/>
      <w:spacing w:val="15"/>
      <w:shd w:val="clear" w:color="auto" w:fill="DBE5F1"/>
    </w:rPr>
  </w:style>
  <w:style w:type="paragraph" w:styleId="Listepuces">
    <w:name w:val="List Bullet"/>
    <w:basedOn w:val="Normal"/>
    <w:uiPriority w:val="99"/>
    <w:unhideWhenUsed/>
    <w:qFormat/>
    <w:rsid w:val="00AE74DA"/>
    <w:pPr>
      <w:numPr>
        <w:numId w:val="21"/>
      </w:numPr>
      <w:spacing w:before="0"/>
      <w:ind w:left="357" w:hanging="357"/>
      <w:contextualSpacing/>
    </w:pPr>
  </w:style>
  <w:style w:type="paragraph" w:styleId="Titre">
    <w:name w:val="Title"/>
    <w:basedOn w:val="Normal"/>
    <w:next w:val="Normal"/>
    <w:link w:val="TitreCar"/>
    <w:uiPriority w:val="10"/>
    <w:qFormat/>
    <w:rsid w:val="005023AC"/>
    <w:pPr>
      <w:spacing w:before="720"/>
    </w:pPr>
    <w:rPr>
      <w:caps/>
      <w:color w:val="4F81BD"/>
      <w:spacing w:val="10"/>
      <w:kern w:val="28"/>
      <w:sz w:val="32"/>
      <w:szCs w:val="52"/>
    </w:rPr>
  </w:style>
  <w:style w:type="character" w:customStyle="1" w:styleId="TitreCar">
    <w:name w:val="Titre Car"/>
    <w:link w:val="Titre"/>
    <w:uiPriority w:val="10"/>
    <w:rsid w:val="005023AC"/>
    <w:rPr>
      <w:caps/>
      <w:color w:val="4F81BD"/>
      <w:spacing w:val="10"/>
      <w:kern w:val="28"/>
      <w:sz w:val="32"/>
      <w:szCs w:val="52"/>
    </w:rPr>
  </w:style>
  <w:style w:type="character" w:styleId="Lienhypertexte">
    <w:name w:val="Hyperlink"/>
    <w:uiPriority w:val="99"/>
    <w:unhideWhenUsed/>
    <w:rsid w:val="001337D9"/>
    <w:rPr>
      <w:color w:val="0000FF"/>
      <w:u w:val="single"/>
    </w:rPr>
  </w:style>
  <w:style w:type="character" w:styleId="Lienhypertextesuivivisit">
    <w:name w:val="FollowedHyperlink"/>
    <w:uiPriority w:val="99"/>
    <w:semiHidden/>
    <w:unhideWhenUsed/>
    <w:rsid w:val="00DE503F"/>
    <w:rPr>
      <w:color w:val="800080"/>
      <w:u w:val="single"/>
    </w:rPr>
  </w:style>
  <w:style w:type="paragraph" w:customStyle="1" w:styleId="Encadr">
    <w:name w:val="Encadré"/>
    <w:basedOn w:val="Normal"/>
    <w:rsid w:val="00174852"/>
    <w:pPr>
      <w:pBdr>
        <w:top w:val="single" w:sz="4" w:space="1" w:color="auto"/>
        <w:left w:val="single" w:sz="4" w:space="4" w:color="auto"/>
        <w:bottom w:val="single" w:sz="4" w:space="1" w:color="auto"/>
        <w:right w:val="single" w:sz="4" w:space="4" w:color="auto"/>
      </w:pBdr>
      <w:shd w:val="clear" w:color="auto" w:fill="F3F3F3"/>
    </w:pPr>
    <w:rPr>
      <w:sz w:val="18"/>
    </w:rPr>
  </w:style>
  <w:style w:type="character" w:customStyle="1" w:styleId="Titre1Car">
    <w:name w:val="Titre 1 Car"/>
    <w:link w:val="Titre1"/>
    <w:uiPriority w:val="9"/>
    <w:rsid w:val="00E231F6"/>
    <w:rPr>
      <w:b/>
      <w:bCs/>
      <w:caps/>
      <w:color w:val="FFFFFF"/>
      <w:spacing w:val="15"/>
      <w:shd w:val="clear" w:color="auto" w:fill="4F81BD"/>
    </w:rPr>
  </w:style>
  <w:style w:type="character" w:customStyle="1" w:styleId="Titre4Car">
    <w:name w:val="Titre 4 Car"/>
    <w:link w:val="Titre4"/>
    <w:uiPriority w:val="9"/>
    <w:rsid w:val="00F41F54"/>
    <w:rPr>
      <w:smallCaps/>
      <w:color w:val="365F91"/>
      <w:spacing w:val="10"/>
    </w:rPr>
  </w:style>
  <w:style w:type="character" w:customStyle="1" w:styleId="Titre5Car">
    <w:name w:val="Titre 5 Car"/>
    <w:link w:val="Titre5"/>
    <w:uiPriority w:val="9"/>
    <w:semiHidden/>
    <w:rsid w:val="00E231F6"/>
    <w:rPr>
      <w:caps/>
      <w:color w:val="365F91"/>
      <w:spacing w:val="10"/>
    </w:rPr>
  </w:style>
  <w:style w:type="character" w:customStyle="1" w:styleId="Titre6Car">
    <w:name w:val="Titre 6 Car"/>
    <w:link w:val="Titre6"/>
    <w:uiPriority w:val="9"/>
    <w:semiHidden/>
    <w:rsid w:val="00E231F6"/>
    <w:rPr>
      <w:caps/>
      <w:color w:val="365F91"/>
      <w:spacing w:val="10"/>
    </w:rPr>
  </w:style>
  <w:style w:type="character" w:customStyle="1" w:styleId="Titre7Car">
    <w:name w:val="Titre 7 Car"/>
    <w:link w:val="Titre7"/>
    <w:uiPriority w:val="9"/>
    <w:semiHidden/>
    <w:rsid w:val="00E231F6"/>
    <w:rPr>
      <w:caps/>
      <w:color w:val="365F91"/>
      <w:spacing w:val="10"/>
    </w:rPr>
  </w:style>
  <w:style w:type="character" w:customStyle="1" w:styleId="Titre8Car">
    <w:name w:val="Titre 8 Car"/>
    <w:link w:val="Titre8"/>
    <w:uiPriority w:val="9"/>
    <w:semiHidden/>
    <w:rsid w:val="00E231F6"/>
    <w:rPr>
      <w:caps/>
      <w:spacing w:val="10"/>
      <w:sz w:val="18"/>
      <w:szCs w:val="18"/>
    </w:rPr>
  </w:style>
  <w:style w:type="character" w:customStyle="1" w:styleId="Titre9Car">
    <w:name w:val="Titre 9 Car"/>
    <w:link w:val="Titre9"/>
    <w:uiPriority w:val="9"/>
    <w:semiHidden/>
    <w:rsid w:val="00E231F6"/>
    <w:rPr>
      <w:i/>
      <w:caps/>
      <w:spacing w:val="10"/>
      <w:sz w:val="18"/>
      <w:szCs w:val="18"/>
    </w:rPr>
  </w:style>
  <w:style w:type="paragraph" w:styleId="Lgende">
    <w:name w:val="caption"/>
    <w:basedOn w:val="Normal"/>
    <w:next w:val="Normal"/>
    <w:uiPriority w:val="35"/>
    <w:semiHidden/>
    <w:unhideWhenUsed/>
    <w:qFormat/>
    <w:rsid w:val="00E231F6"/>
    <w:rPr>
      <w:b/>
      <w:bCs/>
      <w:color w:val="365F91"/>
      <w:sz w:val="16"/>
      <w:szCs w:val="16"/>
    </w:rPr>
  </w:style>
  <w:style w:type="paragraph" w:styleId="Sous-titre">
    <w:name w:val="Subtitle"/>
    <w:basedOn w:val="Normal"/>
    <w:next w:val="Normal"/>
    <w:link w:val="Sous-titreCar"/>
    <w:uiPriority w:val="11"/>
    <w:qFormat/>
    <w:rsid w:val="00E231F6"/>
    <w:pPr>
      <w:spacing w:after="1000" w:line="240" w:lineRule="auto"/>
    </w:pPr>
    <w:rPr>
      <w:caps/>
      <w:color w:val="595959"/>
      <w:spacing w:val="10"/>
      <w:sz w:val="24"/>
      <w:szCs w:val="24"/>
    </w:rPr>
  </w:style>
  <w:style w:type="character" w:customStyle="1" w:styleId="Sous-titreCar">
    <w:name w:val="Sous-titre Car"/>
    <w:link w:val="Sous-titre"/>
    <w:uiPriority w:val="11"/>
    <w:rsid w:val="00E231F6"/>
    <w:rPr>
      <w:caps/>
      <w:color w:val="595959"/>
      <w:spacing w:val="10"/>
      <w:sz w:val="24"/>
      <w:szCs w:val="24"/>
    </w:rPr>
  </w:style>
  <w:style w:type="character" w:styleId="lev">
    <w:name w:val="Strong"/>
    <w:uiPriority w:val="22"/>
    <w:qFormat/>
    <w:rsid w:val="00E231F6"/>
    <w:rPr>
      <w:b/>
      <w:bCs/>
    </w:rPr>
  </w:style>
  <w:style w:type="character" w:styleId="Accentuation">
    <w:name w:val="Emphasis"/>
    <w:uiPriority w:val="20"/>
    <w:rsid w:val="00E231F6"/>
    <w:rPr>
      <w:caps/>
      <w:color w:val="243F60"/>
      <w:spacing w:val="5"/>
    </w:rPr>
  </w:style>
  <w:style w:type="paragraph" w:styleId="Sansinterligne">
    <w:name w:val="No Spacing"/>
    <w:basedOn w:val="Normal"/>
    <w:link w:val="SansinterligneCar"/>
    <w:uiPriority w:val="1"/>
    <w:rsid w:val="00E231F6"/>
    <w:pPr>
      <w:spacing w:before="0" w:line="240" w:lineRule="auto"/>
    </w:pPr>
  </w:style>
  <w:style w:type="paragraph" w:styleId="Paragraphedeliste">
    <w:name w:val="List Paragraph"/>
    <w:basedOn w:val="Normal"/>
    <w:link w:val="ParagraphedelisteCar"/>
    <w:uiPriority w:val="34"/>
    <w:qFormat/>
    <w:rsid w:val="00E231F6"/>
    <w:pPr>
      <w:ind w:left="720"/>
      <w:contextualSpacing/>
    </w:pPr>
  </w:style>
  <w:style w:type="paragraph" w:styleId="Citation">
    <w:name w:val="Quote"/>
    <w:basedOn w:val="Normal"/>
    <w:next w:val="Normal"/>
    <w:link w:val="CitationCar"/>
    <w:uiPriority w:val="29"/>
    <w:rsid w:val="00E231F6"/>
    <w:rPr>
      <w:i/>
      <w:iCs/>
    </w:rPr>
  </w:style>
  <w:style w:type="character" w:customStyle="1" w:styleId="CitationCar">
    <w:name w:val="Citation Car"/>
    <w:link w:val="Citation"/>
    <w:uiPriority w:val="29"/>
    <w:rsid w:val="00E231F6"/>
    <w:rPr>
      <w:i/>
      <w:iCs/>
      <w:sz w:val="20"/>
      <w:szCs w:val="20"/>
    </w:rPr>
  </w:style>
  <w:style w:type="paragraph" w:styleId="Citationintense">
    <w:name w:val="Intense Quote"/>
    <w:basedOn w:val="Normal"/>
    <w:next w:val="Normal"/>
    <w:link w:val="CitationintenseCar"/>
    <w:uiPriority w:val="30"/>
    <w:rsid w:val="00E231F6"/>
    <w:pPr>
      <w:pBdr>
        <w:top w:val="single" w:sz="4" w:space="10" w:color="4F81BD"/>
        <w:left w:val="single" w:sz="4" w:space="10" w:color="4F81BD"/>
      </w:pBdr>
      <w:ind w:left="1296" w:right="1152"/>
      <w:jc w:val="both"/>
    </w:pPr>
    <w:rPr>
      <w:i/>
      <w:iCs/>
      <w:color w:val="4F81BD"/>
    </w:rPr>
  </w:style>
  <w:style w:type="character" w:customStyle="1" w:styleId="CitationintenseCar">
    <w:name w:val="Citation intense Car"/>
    <w:link w:val="Citationintense"/>
    <w:uiPriority w:val="30"/>
    <w:rsid w:val="00E231F6"/>
    <w:rPr>
      <w:i/>
      <w:iCs/>
      <w:color w:val="4F81BD"/>
      <w:sz w:val="20"/>
      <w:szCs w:val="20"/>
    </w:rPr>
  </w:style>
  <w:style w:type="character" w:styleId="Emphaseple">
    <w:name w:val="Subtle Emphasis"/>
    <w:uiPriority w:val="19"/>
    <w:rsid w:val="00E231F6"/>
    <w:rPr>
      <w:i/>
      <w:iCs/>
      <w:color w:val="243F60"/>
    </w:rPr>
  </w:style>
  <w:style w:type="character" w:styleId="Emphaseintense">
    <w:name w:val="Intense Emphasis"/>
    <w:uiPriority w:val="21"/>
    <w:rsid w:val="00E231F6"/>
    <w:rPr>
      <w:b/>
      <w:bCs/>
      <w:caps/>
      <w:color w:val="243F60"/>
      <w:spacing w:val="10"/>
    </w:rPr>
  </w:style>
  <w:style w:type="character" w:styleId="Rfrenceple">
    <w:name w:val="Subtle Reference"/>
    <w:uiPriority w:val="31"/>
    <w:rsid w:val="00E231F6"/>
    <w:rPr>
      <w:b/>
      <w:bCs/>
      <w:color w:val="4F81BD"/>
    </w:rPr>
  </w:style>
  <w:style w:type="character" w:styleId="Rfrenceintense">
    <w:name w:val="Intense Reference"/>
    <w:uiPriority w:val="32"/>
    <w:rsid w:val="00E231F6"/>
    <w:rPr>
      <w:b/>
      <w:bCs/>
      <w:i/>
      <w:iCs/>
      <w:caps/>
      <w:color w:val="4F81BD"/>
    </w:rPr>
  </w:style>
  <w:style w:type="character" w:styleId="Titredulivre">
    <w:name w:val="Book Title"/>
    <w:uiPriority w:val="33"/>
    <w:rsid w:val="00E231F6"/>
    <w:rPr>
      <w:b/>
      <w:bCs/>
      <w:i/>
      <w:iCs/>
      <w:spacing w:val="9"/>
    </w:rPr>
  </w:style>
  <w:style w:type="paragraph" w:styleId="En-ttedetabledesmatires">
    <w:name w:val="TOC Heading"/>
    <w:basedOn w:val="Titre1"/>
    <w:next w:val="Normal"/>
    <w:uiPriority w:val="39"/>
    <w:semiHidden/>
    <w:unhideWhenUsed/>
    <w:qFormat/>
    <w:rsid w:val="00E231F6"/>
    <w:pPr>
      <w:outlineLvl w:val="9"/>
    </w:pPr>
    <w:rPr>
      <w:lang w:bidi="en-US"/>
    </w:rPr>
  </w:style>
  <w:style w:type="character" w:customStyle="1" w:styleId="SansinterligneCar">
    <w:name w:val="Sans interligne Car"/>
    <w:link w:val="Sansinterligne"/>
    <w:uiPriority w:val="1"/>
    <w:rsid w:val="00E231F6"/>
    <w:rPr>
      <w:sz w:val="20"/>
      <w:szCs w:val="20"/>
    </w:rPr>
  </w:style>
  <w:style w:type="paragraph" w:styleId="TM7">
    <w:name w:val="toc 7"/>
    <w:basedOn w:val="Normal"/>
    <w:next w:val="Normal"/>
    <w:autoRedefine/>
    <w:uiPriority w:val="39"/>
    <w:unhideWhenUsed/>
    <w:rsid w:val="00E231F6"/>
    <w:pPr>
      <w:spacing w:before="0"/>
      <w:ind w:left="1200"/>
    </w:pPr>
    <w:rPr>
      <w:rFonts w:asciiTheme="minorHAnsi" w:hAnsiTheme="minorHAnsi"/>
    </w:rPr>
  </w:style>
  <w:style w:type="character" w:styleId="Appelnotedebasdep">
    <w:name w:val="footnote reference"/>
    <w:basedOn w:val="Policepardfaut"/>
    <w:uiPriority w:val="99"/>
    <w:unhideWhenUsed/>
    <w:rsid w:val="001958F2"/>
    <w:rPr>
      <w:vertAlign w:val="superscript"/>
    </w:rPr>
  </w:style>
  <w:style w:type="paragraph" w:styleId="Corpsdetexte">
    <w:name w:val="Body Text"/>
    <w:basedOn w:val="Normal"/>
    <w:link w:val="CorpsdetexteCar"/>
    <w:uiPriority w:val="99"/>
    <w:unhideWhenUsed/>
    <w:rsid w:val="00DD50D5"/>
    <w:pPr>
      <w:spacing w:before="100" w:after="120" w:line="240" w:lineRule="auto"/>
      <w:jc w:val="both"/>
    </w:pPr>
    <w:rPr>
      <w:rFonts w:eastAsia="Times New Roman"/>
      <w:color w:val="000000"/>
      <w:sz w:val="22"/>
      <w:szCs w:val="24"/>
    </w:rPr>
  </w:style>
  <w:style w:type="character" w:customStyle="1" w:styleId="CorpsdetexteCar">
    <w:name w:val="Corps de texte Car"/>
    <w:basedOn w:val="Policepardfaut"/>
    <w:link w:val="Corpsdetexte"/>
    <w:uiPriority w:val="99"/>
    <w:rsid w:val="00DD50D5"/>
    <w:rPr>
      <w:rFonts w:eastAsia="Times New Roman"/>
      <w:color w:val="000000"/>
      <w:sz w:val="22"/>
      <w:szCs w:val="24"/>
    </w:rPr>
  </w:style>
  <w:style w:type="character" w:customStyle="1" w:styleId="ParagraphedelisteCar">
    <w:name w:val="Paragraphe de liste Car"/>
    <w:basedOn w:val="Policepardfaut"/>
    <w:link w:val="Paragraphedeliste"/>
    <w:uiPriority w:val="34"/>
    <w:locked/>
    <w:rsid w:val="00DD50D5"/>
  </w:style>
  <w:style w:type="paragraph" w:styleId="TM1">
    <w:name w:val="toc 1"/>
    <w:basedOn w:val="Normal"/>
    <w:next w:val="Normal"/>
    <w:autoRedefine/>
    <w:uiPriority w:val="39"/>
    <w:unhideWhenUsed/>
    <w:rsid w:val="008C6984"/>
    <w:pPr>
      <w:spacing w:before="120"/>
    </w:pPr>
    <w:rPr>
      <w:rFonts w:asciiTheme="minorHAnsi" w:hAnsiTheme="minorHAnsi"/>
      <w:b/>
      <w:sz w:val="22"/>
      <w:szCs w:val="22"/>
    </w:rPr>
  </w:style>
  <w:style w:type="paragraph" w:styleId="TM2">
    <w:name w:val="toc 2"/>
    <w:basedOn w:val="Normal"/>
    <w:next w:val="Normal"/>
    <w:autoRedefine/>
    <w:uiPriority w:val="39"/>
    <w:unhideWhenUsed/>
    <w:rsid w:val="008C6984"/>
    <w:pPr>
      <w:spacing w:before="0"/>
      <w:ind w:left="200"/>
    </w:pPr>
    <w:rPr>
      <w:rFonts w:asciiTheme="minorHAnsi" w:hAnsiTheme="minorHAnsi"/>
      <w:i/>
      <w:sz w:val="22"/>
      <w:szCs w:val="22"/>
    </w:rPr>
  </w:style>
  <w:style w:type="paragraph" w:styleId="TM3">
    <w:name w:val="toc 3"/>
    <w:basedOn w:val="Normal"/>
    <w:next w:val="Normal"/>
    <w:autoRedefine/>
    <w:uiPriority w:val="39"/>
    <w:unhideWhenUsed/>
    <w:rsid w:val="008C6984"/>
    <w:pPr>
      <w:spacing w:before="0"/>
      <w:ind w:left="400"/>
    </w:pPr>
    <w:rPr>
      <w:rFonts w:asciiTheme="minorHAnsi" w:hAnsiTheme="minorHAnsi"/>
      <w:sz w:val="22"/>
      <w:szCs w:val="22"/>
    </w:rPr>
  </w:style>
  <w:style w:type="paragraph" w:styleId="TM4">
    <w:name w:val="toc 4"/>
    <w:basedOn w:val="Normal"/>
    <w:next w:val="Normal"/>
    <w:autoRedefine/>
    <w:uiPriority w:val="39"/>
    <w:unhideWhenUsed/>
    <w:rsid w:val="008C6984"/>
    <w:pPr>
      <w:spacing w:before="0"/>
      <w:ind w:left="600"/>
    </w:pPr>
    <w:rPr>
      <w:rFonts w:asciiTheme="minorHAnsi" w:hAnsiTheme="minorHAnsi"/>
    </w:rPr>
  </w:style>
  <w:style w:type="paragraph" w:styleId="TM5">
    <w:name w:val="toc 5"/>
    <w:basedOn w:val="Normal"/>
    <w:next w:val="Normal"/>
    <w:autoRedefine/>
    <w:uiPriority w:val="39"/>
    <w:unhideWhenUsed/>
    <w:rsid w:val="008C6984"/>
    <w:pPr>
      <w:spacing w:before="0"/>
      <w:ind w:left="800"/>
    </w:pPr>
    <w:rPr>
      <w:rFonts w:asciiTheme="minorHAnsi" w:hAnsiTheme="minorHAnsi"/>
    </w:rPr>
  </w:style>
  <w:style w:type="paragraph" w:styleId="TM6">
    <w:name w:val="toc 6"/>
    <w:basedOn w:val="Normal"/>
    <w:next w:val="Normal"/>
    <w:autoRedefine/>
    <w:uiPriority w:val="39"/>
    <w:unhideWhenUsed/>
    <w:rsid w:val="008C6984"/>
    <w:pPr>
      <w:spacing w:before="0"/>
      <w:ind w:left="1000"/>
    </w:pPr>
    <w:rPr>
      <w:rFonts w:asciiTheme="minorHAnsi" w:hAnsiTheme="minorHAnsi"/>
    </w:rPr>
  </w:style>
  <w:style w:type="paragraph" w:styleId="TM8">
    <w:name w:val="toc 8"/>
    <w:basedOn w:val="Normal"/>
    <w:next w:val="Normal"/>
    <w:autoRedefine/>
    <w:uiPriority w:val="39"/>
    <w:unhideWhenUsed/>
    <w:rsid w:val="008C6984"/>
    <w:pPr>
      <w:spacing w:before="0"/>
      <w:ind w:left="1400"/>
    </w:pPr>
    <w:rPr>
      <w:rFonts w:asciiTheme="minorHAnsi" w:hAnsiTheme="minorHAnsi"/>
    </w:rPr>
  </w:style>
  <w:style w:type="paragraph" w:styleId="TM9">
    <w:name w:val="toc 9"/>
    <w:basedOn w:val="Normal"/>
    <w:next w:val="Normal"/>
    <w:autoRedefine/>
    <w:uiPriority w:val="39"/>
    <w:unhideWhenUsed/>
    <w:rsid w:val="008C6984"/>
    <w:pPr>
      <w:spacing w:before="0"/>
      <w:ind w:left="1600"/>
    </w:pPr>
    <w:rPr>
      <w:rFonts w:asciiTheme="minorHAnsi" w:hAnsiTheme="minorHAnsi"/>
    </w:rPr>
  </w:style>
  <w:style w:type="paragraph" w:styleId="NormalWeb">
    <w:name w:val="Normal (Web)"/>
    <w:basedOn w:val="Normal"/>
    <w:uiPriority w:val="99"/>
    <w:semiHidden/>
    <w:unhideWhenUsed/>
    <w:rsid w:val="00F14B81"/>
    <w:pPr>
      <w:spacing w:before="100" w:beforeAutospacing="1" w:after="100" w:afterAutospacing="1" w:line="240" w:lineRule="auto"/>
    </w:pPr>
    <w:rPr>
      <w:rFonts w:ascii="Times New Roman" w:eastAsia="Times New Roman" w:hAnsi="Times New Roman"/>
      <w:sz w:val="24"/>
      <w:szCs w:val="24"/>
    </w:rPr>
  </w:style>
  <w:style w:type="paragraph" w:styleId="Explorateurdedocuments">
    <w:name w:val="Document Map"/>
    <w:basedOn w:val="Normal"/>
    <w:link w:val="ExplorateurdedocumentsCar"/>
    <w:uiPriority w:val="99"/>
    <w:semiHidden/>
    <w:unhideWhenUsed/>
    <w:rsid w:val="00A80571"/>
    <w:pPr>
      <w:spacing w:before="0" w:line="240" w:lineRule="auto"/>
    </w:pPr>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A80571"/>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74DA"/>
    <w:pPr>
      <w:spacing w:before="200" w:line="276" w:lineRule="auto"/>
    </w:pPr>
  </w:style>
  <w:style w:type="paragraph" w:styleId="Titre1">
    <w:name w:val="heading 1"/>
    <w:basedOn w:val="Normal"/>
    <w:next w:val="Normal"/>
    <w:link w:val="Titre1Car"/>
    <w:uiPriority w:val="9"/>
    <w:qFormat/>
    <w:rsid w:val="00E231F6"/>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Titre2">
    <w:name w:val="heading 2"/>
    <w:basedOn w:val="Normal"/>
    <w:next w:val="Normal"/>
    <w:link w:val="Titre2Car"/>
    <w:uiPriority w:val="9"/>
    <w:unhideWhenUsed/>
    <w:qFormat/>
    <w:rsid w:val="00E231F6"/>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Titre3">
    <w:name w:val="heading 3"/>
    <w:basedOn w:val="Normal"/>
    <w:next w:val="Normal"/>
    <w:link w:val="Titre3Car"/>
    <w:uiPriority w:val="9"/>
    <w:unhideWhenUsed/>
    <w:qFormat/>
    <w:rsid w:val="00412B89"/>
    <w:pPr>
      <w:spacing w:before="300"/>
      <w:outlineLvl w:val="2"/>
    </w:pPr>
    <w:rPr>
      <w:b/>
      <w:caps/>
      <w:color w:val="548DD4" w:themeColor="text2" w:themeTint="99"/>
      <w:spacing w:val="15"/>
      <w:sz w:val="22"/>
      <w:szCs w:val="22"/>
    </w:rPr>
  </w:style>
  <w:style w:type="paragraph" w:styleId="Titre4">
    <w:name w:val="heading 4"/>
    <w:basedOn w:val="Normal"/>
    <w:next w:val="Normal"/>
    <w:link w:val="Titre4Car"/>
    <w:uiPriority w:val="9"/>
    <w:unhideWhenUsed/>
    <w:qFormat/>
    <w:rsid w:val="00F41F54"/>
    <w:pPr>
      <w:spacing w:before="240"/>
      <w:outlineLvl w:val="3"/>
    </w:pPr>
    <w:rPr>
      <w:smallCaps/>
      <w:color w:val="365F91"/>
      <w:spacing w:val="10"/>
    </w:rPr>
  </w:style>
  <w:style w:type="paragraph" w:styleId="Titre5">
    <w:name w:val="heading 5"/>
    <w:basedOn w:val="Normal"/>
    <w:next w:val="Normal"/>
    <w:link w:val="Titre5Car"/>
    <w:uiPriority w:val="9"/>
    <w:semiHidden/>
    <w:unhideWhenUsed/>
    <w:qFormat/>
    <w:rsid w:val="00E231F6"/>
    <w:pPr>
      <w:pBdr>
        <w:bottom w:val="single" w:sz="6" w:space="1" w:color="4F81BD"/>
      </w:pBdr>
      <w:spacing w:before="300"/>
      <w:outlineLvl w:val="4"/>
    </w:pPr>
    <w:rPr>
      <w:caps/>
      <w:color w:val="365F91"/>
      <w:spacing w:val="10"/>
      <w:sz w:val="22"/>
      <w:szCs w:val="22"/>
    </w:rPr>
  </w:style>
  <w:style w:type="paragraph" w:styleId="Titre6">
    <w:name w:val="heading 6"/>
    <w:basedOn w:val="Normal"/>
    <w:next w:val="Normal"/>
    <w:link w:val="Titre6Car"/>
    <w:uiPriority w:val="9"/>
    <w:semiHidden/>
    <w:unhideWhenUsed/>
    <w:qFormat/>
    <w:rsid w:val="00E231F6"/>
    <w:pPr>
      <w:pBdr>
        <w:bottom w:val="dotted" w:sz="6" w:space="1" w:color="4F81BD"/>
      </w:pBdr>
      <w:spacing w:before="300"/>
      <w:outlineLvl w:val="5"/>
    </w:pPr>
    <w:rPr>
      <w:caps/>
      <w:color w:val="365F91"/>
      <w:spacing w:val="10"/>
      <w:sz w:val="22"/>
      <w:szCs w:val="22"/>
    </w:rPr>
  </w:style>
  <w:style w:type="paragraph" w:styleId="Titre7">
    <w:name w:val="heading 7"/>
    <w:basedOn w:val="Normal"/>
    <w:next w:val="Normal"/>
    <w:link w:val="Titre7Car"/>
    <w:uiPriority w:val="9"/>
    <w:semiHidden/>
    <w:unhideWhenUsed/>
    <w:qFormat/>
    <w:rsid w:val="00E231F6"/>
    <w:pPr>
      <w:spacing w:before="300"/>
      <w:outlineLvl w:val="6"/>
    </w:pPr>
    <w:rPr>
      <w:caps/>
      <w:color w:val="365F91"/>
      <w:spacing w:val="10"/>
      <w:sz w:val="22"/>
      <w:szCs w:val="22"/>
    </w:rPr>
  </w:style>
  <w:style w:type="paragraph" w:styleId="Titre8">
    <w:name w:val="heading 8"/>
    <w:basedOn w:val="Normal"/>
    <w:next w:val="Normal"/>
    <w:link w:val="Titre8Car"/>
    <w:uiPriority w:val="9"/>
    <w:semiHidden/>
    <w:unhideWhenUsed/>
    <w:qFormat/>
    <w:rsid w:val="00E231F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E231F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utexte">
    <w:name w:val="Corps du texte"/>
    <w:basedOn w:val="Normal"/>
    <w:link w:val="CorpsdutexteCar"/>
    <w:rsid w:val="00932513"/>
  </w:style>
  <w:style w:type="paragraph" w:customStyle="1" w:styleId="Corpsdutableau">
    <w:name w:val="Corps du tableau"/>
    <w:basedOn w:val="Corpsdutexte"/>
    <w:rsid w:val="00A779E2"/>
    <w:rPr>
      <w:sz w:val="18"/>
    </w:rPr>
  </w:style>
  <w:style w:type="paragraph" w:customStyle="1" w:styleId="Titretabfig">
    <w:name w:val="Titre tab/fig"/>
    <w:basedOn w:val="Corpsdutexte"/>
    <w:next w:val="Corpsdutexte"/>
    <w:rsid w:val="002A43DE"/>
    <w:pPr>
      <w:spacing w:after="100"/>
    </w:pPr>
    <w:rPr>
      <w:b/>
    </w:rPr>
  </w:style>
  <w:style w:type="paragraph" w:customStyle="1" w:styleId="Basdepagenote">
    <w:name w:val="Bas de page (note)"/>
    <w:basedOn w:val="Corpsdutexte"/>
    <w:next w:val="Corpsdutexte"/>
    <w:rsid w:val="00E07449"/>
    <w:rPr>
      <w:sz w:val="16"/>
    </w:rPr>
  </w:style>
  <w:style w:type="paragraph" w:styleId="En-tte">
    <w:name w:val="header"/>
    <w:basedOn w:val="Normal"/>
    <w:semiHidden/>
    <w:rsid w:val="00D7205F"/>
    <w:pPr>
      <w:tabs>
        <w:tab w:val="center" w:pos="4536"/>
        <w:tab w:val="right" w:pos="9072"/>
      </w:tabs>
    </w:pPr>
  </w:style>
  <w:style w:type="paragraph" w:styleId="Pieddepage">
    <w:name w:val="footer"/>
    <w:basedOn w:val="Normal"/>
    <w:semiHidden/>
    <w:rsid w:val="00D7205F"/>
    <w:pPr>
      <w:tabs>
        <w:tab w:val="center" w:pos="4536"/>
        <w:tab w:val="right" w:pos="9072"/>
      </w:tabs>
    </w:pPr>
  </w:style>
  <w:style w:type="character" w:styleId="Numrodepage">
    <w:name w:val="page number"/>
    <w:basedOn w:val="Policepardfaut"/>
    <w:rsid w:val="00D7205F"/>
  </w:style>
  <w:style w:type="character" w:customStyle="1" w:styleId="CorpsdutexteCar">
    <w:name w:val="Corps du texte Car"/>
    <w:link w:val="Corpsdutexte"/>
    <w:rsid w:val="00DF67FE"/>
    <w:rPr>
      <w:rFonts w:ascii="Book Antiqua" w:hAnsi="Book Antiqua"/>
      <w:sz w:val="22"/>
      <w:szCs w:val="24"/>
      <w:lang w:val="fr-FR" w:eastAsia="fr-FR" w:bidi="ar-SA"/>
    </w:rPr>
  </w:style>
  <w:style w:type="character" w:styleId="Marquedecommentaire">
    <w:name w:val="annotation reference"/>
    <w:semiHidden/>
    <w:rsid w:val="002649F8"/>
    <w:rPr>
      <w:sz w:val="16"/>
      <w:szCs w:val="16"/>
    </w:rPr>
  </w:style>
  <w:style w:type="paragraph" w:styleId="Commentaire">
    <w:name w:val="annotation text"/>
    <w:basedOn w:val="Normal"/>
    <w:semiHidden/>
    <w:rsid w:val="002649F8"/>
  </w:style>
  <w:style w:type="paragraph" w:styleId="Objetducommentaire">
    <w:name w:val="annotation subject"/>
    <w:basedOn w:val="Commentaire"/>
    <w:next w:val="Commentaire"/>
    <w:semiHidden/>
    <w:rsid w:val="002649F8"/>
    <w:rPr>
      <w:b/>
      <w:bCs/>
    </w:rPr>
  </w:style>
  <w:style w:type="paragraph" w:styleId="Textedebulles">
    <w:name w:val="Balloon Text"/>
    <w:basedOn w:val="Normal"/>
    <w:semiHidden/>
    <w:rsid w:val="002649F8"/>
    <w:rPr>
      <w:rFonts w:ascii="Tahoma" w:hAnsi="Tahoma" w:cs="Tahoma"/>
      <w:sz w:val="16"/>
      <w:szCs w:val="16"/>
    </w:rPr>
  </w:style>
  <w:style w:type="character" w:customStyle="1" w:styleId="Titre3Car">
    <w:name w:val="Titre 3 Car"/>
    <w:link w:val="Titre3"/>
    <w:uiPriority w:val="9"/>
    <w:rsid w:val="00412B89"/>
    <w:rPr>
      <w:b/>
      <w:caps/>
      <w:color w:val="548DD4" w:themeColor="text2" w:themeTint="99"/>
      <w:spacing w:val="15"/>
      <w:sz w:val="22"/>
      <w:szCs w:val="22"/>
    </w:rPr>
  </w:style>
  <w:style w:type="character" w:customStyle="1" w:styleId="Titre2Car">
    <w:name w:val="Titre 2 Car"/>
    <w:link w:val="Titre2"/>
    <w:uiPriority w:val="9"/>
    <w:rsid w:val="00E231F6"/>
    <w:rPr>
      <w:caps/>
      <w:spacing w:val="15"/>
      <w:shd w:val="clear" w:color="auto" w:fill="DBE5F1"/>
    </w:rPr>
  </w:style>
  <w:style w:type="paragraph" w:styleId="Listepuces">
    <w:name w:val="List Bullet"/>
    <w:basedOn w:val="Normal"/>
    <w:uiPriority w:val="99"/>
    <w:unhideWhenUsed/>
    <w:qFormat/>
    <w:rsid w:val="00AE74DA"/>
    <w:pPr>
      <w:numPr>
        <w:numId w:val="21"/>
      </w:numPr>
      <w:spacing w:before="0"/>
      <w:ind w:left="357" w:hanging="357"/>
      <w:contextualSpacing/>
    </w:pPr>
  </w:style>
  <w:style w:type="paragraph" w:styleId="Titre">
    <w:name w:val="Title"/>
    <w:basedOn w:val="Normal"/>
    <w:next w:val="Normal"/>
    <w:link w:val="TitreCar"/>
    <w:uiPriority w:val="10"/>
    <w:qFormat/>
    <w:rsid w:val="005023AC"/>
    <w:pPr>
      <w:spacing w:before="720"/>
    </w:pPr>
    <w:rPr>
      <w:caps/>
      <w:color w:val="4F81BD"/>
      <w:spacing w:val="10"/>
      <w:kern w:val="28"/>
      <w:sz w:val="32"/>
      <w:szCs w:val="52"/>
    </w:rPr>
  </w:style>
  <w:style w:type="character" w:customStyle="1" w:styleId="TitreCar">
    <w:name w:val="Titre Car"/>
    <w:link w:val="Titre"/>
    <w:uiPriority w:val="10"/>
    <w:rsid w:val="005023AC"/>
    <w:rPr>
      <w:caps/>
      <w:color w:val="4F81BD"/>
      <w:spacing w:val="10"/>
      <w:kern w:val="28"/>
      <w:sz w:val="32"/>
      <w:szCs w:val="52"/>
    </w:rPr>
  </w:style>
  <w:style w:type="character" w:styleId="Lienhypertexte">
    <w:name w:val="Hyperlink"/>
    <w:uiPriority w:val="99"/>
    <w:unhideWhenUsed/>
    <w:rsid w:val="001337D9"/>
    <w:rPr>
      <w:color w:val="0000FF"/>
      <w:u w:val="single"/>
    </w:rPr>
  </w:style>
  <w:style w:type="character" w:styleId="Lienhypertextesuivivisit">
    <w:name w:val="FollowedHyperlink"/>
    <w:uiPriority w:val="99"/>
    <w:semiHidden/>
    <w:unhideWhenUsed/>
    <w:rsid w:val="00DE503F"/>
    <w:rPr>
      <w:color w:val="800080"/>
      <w:u w:val="single"/>
    </w:rPr>
  </w:style>
  <w:style w:type="paragraph" w:customStyle="1" w:styleId="Encadr">
    <w:name w:val="Encadré"/>
    <w:basedOn w:val="Normal"/>
    <w:rsid w:val="00174852"/>
    <w:pPr>
      <w:pBdr>
        <w:top w:val="single" w:sz="4" w:space="1" w:color="auto"/>
        <w:left w:val="single" w:sz="4" w:space="4" w:color="auto"/>
        <w:bottom w:val="single" w:sz="4" w:space="1" w:color="auto"/>
        <w:right w:val="single" w:sz="4" w:space="4" w:color="auto"/>
      </w:pBdr>
      <w:shd w:val="clear" w:color="auto" w:fill="F3F3F3"/>
    </w:pPr>
    <w:rPr>
      <w:sz w:val="18"/>
    </w:rPr>
  </w:style>
  <w:style w:type="character" w:customStyle="1" w:styleId="Titre1Car">
    <w:name w:val="Titre 1 Car"/>
    <w:link w:val="Titre1"/>
    <w:uiPriority w:val="9"/>
    <w:rsid w:val="00E231F6"/>
    <w:rPr>
      <w:b/>
      <w:bCs/>
      <w:caps/>
      <w:color w:val="FFFFFF"/>
      <w:spacing w:val="15"/>
      <w:shd w:val="clear" w:color="auto" w:fill="4F81BD"/>
    </w:rPr>
  </w:style>
  <w:style w:type="character" w:customStyle="1" w:styleId="Titre4Car">
    <w:name w:val="Titre 4 Car"/>
    <w:link w:val="Titre4"/>
    <w:uiPriority w:val="9"/>
    <w:rsid w:val="00F41F54"/>
    <w:rPr>
      <w:smallCaps/>
      <w:color w:val="365F91"/>
      <w:spacing w:val="10"/>
    </w:rPr>
  </w:style>
  <w:style w:type="character" w:customStyle="1" w:styleId="Titre5Car">
    <w:name w:val="Titre 5 Car"/>
    <w:link w:val="Titre5"/>
    <w:uiPriority w:val="9"/>
    <w:semiHidden/>
    <w:rsid w:val="00E231F6"/>
    <w:rPr>
      <w:caps/>
      <w:color w:val="365F91"/>
      <w:spacing w:val="10"/>
    </w:rPr>
  </w:style>
  <w:style w:type="character" w:customStyle="1" w:styleId="Titre6Car">
    <w:name w:val="Titre 6 Car"/>
    <w:link w:val="Titre6"/>
    <w:uiPriority w:val="9"/>
    <w:semiHidden/>
    <w:rsid w:val="00E231F6"/>
    <w:rPr>
      <w:caps/>
      <w:color w:val="365F91"/>
      <w:spacing w:val="10"/>
    </w:rPr>
  </w:style>
  <w:style w:type="character" w:customStyle="1" w:styleId="Titre7Car">
    <w:name w:val="Titre 7 Car"/>
    <w:link w:val="Titre7"/>
    <w:uiPriority w:val="9"/>
    <w:semiHidden/>
    <w:rsid w:val="00E231F6"/>
    <w:rPr>
      <w:caps/>
      <w:color w:val="365F91"/>
      <w:spacing w:val="10"/>
    </w:rPr>
  </w:style>
  <w:style w:type="character" w:customStyle="1" w:styleId="Titre8Car">
    <w:name w:val="Titre 8 Car"/>
    <w:link w:val="Titre8"/>
    <w:uiPriority w:val="9"/>
    <w:semiHidden/>
    <w:rsid w:val="00E231F6"/>
    <w:rPr>
      <w:caps/>
      <w:spacing w:val="10"/>
      <w:sz w:val="18"/>
      <w:szCs w:val="18"/>
    </w:rPr>
  </w:style>
  <w:style w:type="character" w:customStyle="1" w:styleId="Titre9Car">
    <w:name w:val="Titre 9 Car"/>
    <w:link w:val="Titre9"/>
    <w:uiPriority w:val="9"/>
    <w:semiHidden/>
    <w:rsid w:val="00E231F6"/>
    <w:rPr>
      <w:i/>
      <w:caps/>
      <w:spacing w:val="10"/>
      <w:sz w:val="18"/>
      <w:szCs w:val="18"/>
    </w:rPr>
  </w:style>
  <w:style w:type="paragraph" w:styleId="Lgende">
    <w:name w:val="caption"/>
    <w:basedOn w:val="Normal"/>
    <w:next w:val="Normal"/>
    <w:uiPriority w:val="35"/>
    <w:semiHidden/>
    <w:unhideWhenUsed/>
    <w:qFormat/>
    <w:rsid w:val="00E231F6"/>
    <w:rPr>
      <w:b/>
      <w:bCs/>
      <w:color w:val="365F91"/>
      <w:sz w:val="16"/>
      <w:szCs w:val="16"/>
    </w:rPr>
  </w:style>
  <w:style w:type="paragraph" w:styleId="Sous-titre">
    <w:name w:val="Subtitle"/>
    <w:basedOn w:val="Normal"/>
    <w:next w:val="Normal"/>
    <w:link w:val="Sous-titreCar"/>
    <w:uiPriority w:val="11"/>
    <w:qFormat/>
    <w:rsid w:val="00E231F6"/>
    <w:pPr>
      <w:spacing w:after="1000" w:line="240" w:lineRule="auto"/>
    </w:pPr>
    <w:rPr>
      <w:caps/>
      <w:color w:val="595959"/>
      <w:spacing w:val="10"/>
      <w:sz w:val="24"/>
      <w:szCs w:val="24"/>
    </w:rPr>
  </w:style>
  <w:style w:type="character" w:customStyle="1" w:styleId="Sous-titreCar">
    <w:name w:val="Sous-titre Car"/>
    <w:link w:val="Sous-titre"/>
    <w:uiPriority w:val="11"/>
    <w:rsid w:val="00E231F6"/>
    <w:rPr>
      <w:caps/>
      <w:color w:val="595959"/>
      <w:spacing w:val="10"/>
      <w:sz w:val="24"/>
      <w:szCs w:val="24"/>
    </w:rPr>
  </w:style>
  <w:style w:type="character" w:styleId="lev">
    <w:name w:val="Strong"/>
    <w:uiPriority w:val="22"/>
    <w:qFormat/>
    <w:rsid w:val="00E231F6"/>
    <w:rPr>
      <w:b/>
      <w:bCs/>
    </w:rPr>
  </w:style>
  <w:style w:type="character" w:styleId="Accentuation">
    <w:name w:val="Emphasis"/>
    <w:uiPriority w:val="20"/>
    <w:rsid w:val="00E231F6"/>
    <w:rPr>
      <w:caps/>
      <w:color w:val="243F60"/>
      <w:spacing w:val="5"/>
    </w:rPr>
  </w:style>
  <w:style w:type="paragraph" w:styleId="Sansinterligne">
    <w:name w:val="No Spacing"/>
    <w:basedOn w:val="Normal"/>
    <w:link w:val="SansinterligneCar"/>
    <w:uiPriority w:val="1"/>
    <w:rsid w:val="00E231F6"/>
    <w:pPr>
      <w:spacing w:before="0" w:line="240" w:lineRule="auto"/>
    </w:pPr>
  </w:style>
  <w:style w:type="paragraph" w:styleId="Paragraphedeliste">
    <w:name w:val="List Paragraph"/>
    <w:basedOn w:val="Normal"/>
    <w:link w:val="ParagraphedelisteCar"/>
    <w:uiPriority w:val="34"/>
    <w:qFormat/>
    <w:rsid w:val="00E231F6"/>
    <w:pPr>
      <w:ind w:left="720"/>
      <w:contextualSpacing/>
    </w:pPr>
  </w:style>
  <w:style w:type="paragraph" w:styleId="Citation">
    <w:name w:val="Quote"/>
    <w:basedOn w:val="Normal"/>
    <w:next w:val="Normal"/>
    <w:link w:val="CitationCar"/>
    <w:uiPriority w:val="29"/>
    <w:rsid w:val="00E231F6"/>
    <w:rPr>
      <w:i/>
      <w:iCs/>
    </w:rPr>
  </w:style>
  <w:style w:type="character" w:customStyle="1" w:styleId="CitationCar">
    <w:name w:val="Citation Car"/>
    <w:link w:val="Citation"/>
    <w:uiPriority w:val="29"/>
    <w:rsid w:val="00E231F6"/>
    <w:rPr>
      <w:i/>
      <w:iCs/>
      <w:sz w:val="20"/>
      <w:szCs w:val="20"/>
    </w:rPr>
  </w:style>
  <w:style w:type="paragraph" w:styleId="Citationintense">
    <w:name w:val="Intense Quote"/>
    <w:basedOn w:val="Normal"/>
    <w:next w:val="Normal"/>
    <w:link w:val="CitationintenseCar"/>
    <w:uiPriority w:val="30"/>
    <w:rsid w:val="00E231F6"/>
    <w:pPr>
      <w:pBdr>
        <w:top w:val="single" w:sz="4" w:space="10" w:color="4F81BD"/>
        <w:left w:val="single" w:sz="4" w:space="10" w:color="4F81BD"/>
      </w:pBdr>
      <w:ind w:left="1296" w:right="1152"/>
      <w:jc w:val="both"/>
    </w:pPr>
    <w:rPr>
      <w:i/>
      <w:iCs/>
      <w:color w:val="4F81BD"/>
    </w:rPr>
  </w:style>
  <w:style w:type="character" w:customStyle="1" w:styleId="CitationintenseCar">
    <w:name w:val="Citation intense Car"/>
    <w:link w:val="Citationintense"/>
    <w:uiPriority w:val="30"/>
    <w:rsid w:val="00E231F6"/>
    <w:rPr>
      <w:i/>
      <w:iCs/>
      <w:color w:val="4F81BD"/>
      <w:sz w:val="20"/>
      <w:szCs w:val="20"/>
    </w:rPr>
  </w:style>
  <w:style w:type="character" w:styleId="Emphaseple">
    <w:name w:val="Subtle Emphasis"/>
    <w:uiPriority w:val="19"/>
    <w:rsid w:val="00E231F6"/>
    <w:rPr>
      <w:i/>
      <w:iCs/>
      <w:color w:val="243F60"/>
    </w:rPr>
  </w:style>
  <w:style w:type="character" w:styleId="Emphaseintense">
    <w:name w:val="Intense Emphasis"/>
    <w:uiPriority w:val="21"/>
    <w:rsid w:val="00E231F6"/>
    <w:rPr>
      <w:b/>
      <w:bCs/>
      <w:caps/>
      <w:color w:val="243F60"/>
      <w:spacing w:val="10"/>
    </w:rPr>
  </w:style>
  <w:style w:type="character" w:styleId="Rfrenceple">
    <w:name w:val="Subtle Reference"/>
    <w:uiPriority w:val="31"/>
    <w:rsid w:val="00E231F6"/>
    <w:rPr>
      <w:b/>
      <w:bCs/>
      <w:color w:val="4F81BD"/>
    </w:rPr>
  </w:style>
  <w:style w:type="character" w:styleId="Rfrenceintense">
    <w:name w:val="Intense Reference"/>
    <w:uiPriority w:val="32"/>
    <w:rsid w:val="00E231F6"/>
    <w:rPr>
      <w:b/>
      <w:bCs/>
      <w:i/>
      <w:iCs/>
      <w:caps/>
      <w:color w:val="4F81BD"/>
    </w:rPr>
  </w:style>
  <w:style w:type="character" w:styleId="Titredulivre">
    <w:name w:val="Book Title"/>
    <w:uiPriority w:val="33"/>
    <w:rsid w:val="00E231F6"/>
    <w:rPr>
      <w:b/>
      <w:bCs/>
      <w:i/>
      <w:iCs/>
      <w:spacing w:val="9"/>
    </w:rPr>
  </w:style>
  <w:style w:type="paragraph" w:styleId="En-ttedetabledesmatires">
    <w:name w:val="TOC Heading"/>
    <w:basedOn w:val="Titre1"/>
    <w:next w:val="Normal"/>
    <w:uiPriority w:val="39"/>
    <w:semiHidden/>
    <w:unhideWhenUsed/>
    <w:qFormat/>
    <w:rsid w:val="00E231F6"/>
    <w:pPr>
      <w:outlineLvl w:val="9"/>
    </w:pPr>
    <w:rPr>
      <w:lang w:bidi="en-US"/>
    </w:rPr>
  </w:style>
  <w:style w:type="character" w:customStyle="1" w:styleId="SansinterligneCar">
    <w:name w:val="Sans interligne Car"/>
    <w:link w:val="Sansinterligne"/>
    <w:uiPriority w:val="1"/>
    <w:rsid w:val="00E231F6"/>
    <w:rPr>
      <w:sz w:val="20"/>
      <w:szCs w:val="20"/>
    </w:rPr>
  </w:style>
  <w:style w:type="paragraph" w:styleId="TM7">
    <w:name w:val="toc 7"/>
    <w:basedOn w:val="Normal"/>
    <w:next w:val="Normal"/>
    <w:autoRedefine/>
    <w:uiPriority w:val="39"/>
    <w:unhideWhenUsed/>
    <w:rsid w:val="00E231F6"/>
    <w:pPr>
      <w:spacing w:before="0"/>
      <w:ind w:left="1200"/>
    </w:pPr>
    <w:rPr>
      <w:rFonts w:asciiTheme="minorHAnsi" w:hAnsiTheme="minorHAnsi"/>
    </w:rPr>
  </w:style>
  <w:style w:type="character" w:styleId="Appelnotedebasdep">
    <w:name w:val="footnote reference"/>
    <w:basedOn w:val="Policepardfaut"/>
    <w:uiPriority w:val="99"/>
    <w:unhideWhenUsed/>
    <w:rsid w:val="001958F2"/>
    <w:rPr>
      <w:vertAlign w:val="superscript"/>
    </w:rPr>
  </w:style>
  <w:style w:type="paragraph" w:styleId="Corpsdetexte">
    <w:name w:val="Body Text"/>
    <w:basedOn w:val="Normal"/>
    <w:link w:val="CorpsdetexteCar"/>
    <w:uiPriority w:val="99"/>
    <w:unhideWhenUsed/>
    <w:rsid w:val="00DD50D5"/>
    <w:pPr>
      <w:spacing w:before="100" w:after="120" w:line="240" w:lineRule="auto"/>
      <w:jc w:val="both"/>
    </w:pPr>
    <w:rPr>
      <w:rFonts w:eastAsia="Times New Roman"/>
      <w:color w:val="000000"/>
      <w:sz w:val="22"/>
      <w:szCs w:val="24"/>
    </w:rPr>
  </w:style>
  <w:style w:type="character" w:customStyle="1" w:styleId="CorpsdetexteCar">
    <w:name w:val="Corps de texte Car"/>
    <w:basedOn w:val="Policepardfaut"/>
    <w:link w:val="Corpsdetexte"/>
    <w:uiPriority w:val="99"/>
    <w:rsid w:val="00DD50D5"/>
    <w:rPr>
      <w:rFonts w:eastAsia="Times New Roman"/>
      <w:color w:val="000000"/>
      <w:sz w:val="22"/>
      <w:szCs w:val="24"/>
    </w:rPr>
  </w:style>
  <w:style w:type="character" w:customStyle="1" w:styleId="ParagraphedelisteCar">
    <w:name w:val="Paragraphe de liste Car"/>
    <w:basedOn w:val="Policepardfaut"/>
    <w:link w:val="Paragraphedeliste"/>
    <w:uiPriority w:val="34"/>
    <w:locked/>
    <w:rsid w:val="00DD50D5"/>
  </w:style>
  <w:style w:type="paragraph" w:styleId="TM1">
    <w:name w:val="toc 1"/>
    <w:basedOn w:val="Normal"/>
    <w:next w:val="Normal"/>
    <w:autoRedefine/>
    <w:uiPriority w:val="39"/>
    <w:unhideWhenUsed/>
    <w:rsid w:val="008C6984"/>
    <w:pPr>
      <w:spacing w:before="120"/>
    </w:pPr>
    <w:rPr>
      <w:rFonts w:asciiTheme="minorHAnsi" w:hAnsiTheme="minorHAnsi"/>
      <w:b/>
      <w:sz w:val="22"/>
      <w:szCs w:val="22"/>
    </w:rPr>
  </w:style>
  <w:style w:type="paragraph" w:styleId="TM2">
    <w:name w:val="toc 2"/>
    <w:basedOn w:val="Normal"/>
    <w:next w:val="Normal"/>
    <w:autoRedefine/>
    <w:uiPriority w:val="39"/>
    <w:unhideWhenUsed/>
    <w:rsid w:val="008C6984"/>
    <w:pPr>
      <w:spacing w:before="0"/>
      <w:ind w:left="200"/>
    </w:pPr>
    <w:rPr>
      <w:rFonts w:asciiTheme="minorHAnsi" w:hAnsiTheme="minorHAnsi"/>
      <w:i/>
      <w:sz w:val="22"/>
      <w:szCs w:val="22"/>
    </w:rPr>
  </w:style>
  <w:style w:type="paragraph" w:styleId="TM3">
    <w:name w:val="toc 3"/>
    <w:basedOn w:val="Normal"/>
    <w:next w:val="Normal"/>
    <w:autoRedefine/>
    <w:uiPriority w:val="39"/>
    <w:unhideWhenUsed/>
    <w:rsid w:val="008C6984"/>
    <w:pPr>
      <w:spacing w:before="0"/>
      <w:ind w:left="400"/>
    </w:pPr>
    <w:rPr>
      <w:rFonts w:asciiTheme="minorHAnsi" w:hAnsiTheme="minorHAnsi"/>
      <w:sz w:val="22"/>
      <w:szCs w:val="22"/>
    </w:rPr>
  </w:style>
  <w:style w:type="paragraph" w:styleId="TM4">
    <w:name w:val="toc 4"/>
    <w:basedOn w:val="Normal"/>
    <w:next w:val="Normal"/>
    <w:autoRedefine/>
    <w:uiPriority w:val="39"/>
    <w:unhideWhenUsed/>
    <w:rsid w:val="008C6984"/>
    <w:pPr>
      <w:spacing w:before="0"/>
      <w:ind w:left="600"/>
    </w:pPr>
    <w:rPr>
      <w:rFonts w:asciiTheme="minorHAnsi" w:hAnsiTheme="minorHAnsi"/>
    </w:rPr>
  </w:style>
  <w:style w:type="paragraph" w:styleId="TM5">
    <w:name w:val="toc 5"/>
    <w:basedOn w:val="Normal"/>
    <w:next w:val="Normal"/>
    <w:autoRedefine/>
    <w:uiPriority w:val="39"/>
    <w:unhideWhenUsed/>
    <w:rsid w:val="008C6984"/>
    <w:pPr>
      <w:spacing w:before="0"/>
      <w:ind w:left="800"/>
    </w:pPr>
    <w:rPr>
      <w:rFonts w:asciiTheme="minorHAnsi" w:hAnsiTheme="minorHAnsi"/>
    </w:rPr>
  </w:style>
  <w:style w:type="paragraph" w:styleId="TM6">
    <w:name w:val="toc 6"/>
    <w:basedOn w:val="Normal"/>
    <w:next w:val="Normal"/>
    <w:autoRedefine/>
    <w:uiPriority w:val="39"/>
    <w:unhideWhenUsed/>
    <w:rsid w:val="008C6984"/>
    <w:pPr>
      <w:spacing w:before="0"/>
      <w:ind w:left="1000"/>
    </w:pPr>
    <w:rPr>
      <w:rFonts w:asciiTheme="minorHAnsi" w:hAnsiTheme="minorHAnsi"/>
    </w:rPr>
  </w:style>
  <w:style w:type="paragraph" w:styleId="TM8">
    <w:name w:val="toc 8"/>
    <w:basedOn w:val="Normal"/>
    <w:next w:val="Normal"/>
    <w:autoRedefine/>
    <w:uiPriority w:val="39"/>
    <w:unhideWhenUsed/>
    <w:rsid w:val="008C6984"/>
    <w:pPr>
      <w:spacing w:before="0"/>
      <w:ind w:left="1400"/>
    </w:pPr>
    <w:rPr>
      <w:rFonts w:asciiTheme="minorHAnsi" w:hAnsiTheme="minorHAnsi"/>
    </w:rPr>
  </w:style>
  <w:style w:type="paragraph" w:styleId="TM9">
    <w:name w:val="toc 9"/>
    <w:basedOn w:val="Normal"/>
    <w:next w:val="Normal"/>
    <w:autoRedefine/>
    <w:uiPriority w:val="39"/>
    <w:unhideWhenUsed/>
    <w:rsid w:val="008C6984"/>
    <w:pPr>
      <w:spacing w:before="0"/>
      <w:ind w:left="1600"/>
    </w:pPr>
    <w:rPr>
      <w:rFonts w:asciiTheme="minorHAnsi" w:hAnsiTheme="minorHAnsi"/>
    </w:rPr>
  </w:style>
  <w:style w:type="paragraph" w:styleId="NormalWeb">
    <w:name w:val="Normal (Web)"/>
    <w:basedOn w:val="Normal"/>
    <w:uiPriority w:val="99"/>
    <w:semiHidden/>
    <w:unhideWhenUsed/>
    <w:rsid w:val="00F14B81"/>
    <w:pPr>
      <w:spacing w:before="100" w:beforeAutospacing="1" w:after="100" w:afterAutospacing="1" w:line="240" w:lineRule="auto"/>
    </w:pPr>
    <w:rPr>
      <w:rFonts w:ascii="Times New Roman" w:eastAsia="Times New Roman" w:hAnsi="Times New Roman"/>
      <w:sz w:val="24"/>
      <w:szCs w:val="24"/>
    </w:rPr>
  </w:style>
  <w:style w:type="paragraph" w:styleId="Explorateurdedocuments">
    <w:name w:val="Document Map"/>
    <w:basedOn w:val="Normal"/>
    <w:link w:val="ExplorateurdedocumentsCar"/>
    <w:uiPriority w:val="99"/>
    <w:semiHidden/>
    <w:unhideWhenUsed/>
    <w:rsid w:val="00A80571"/>
    <w:pPr>
      <w:spacing w:before="0" w:line="240" w:lineRule="auto"/>
    </w:pPr>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A80571"/>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1883">
      <w:bodyDiv w:val="1"/>
      <w:marLeft w:val="0"/>
      <w:marRight w:val="0"/>
      <w:marTop w:val="0"/>
      <w:marBottom w:val="0"/>
      <w:divBdr>
        <w:top w:val="none" w:sz="0" w:space="0" w:color="auto"/>
        <w:left w:val="none" w:sz="0" w:space="0" w:color="auto"/>
        <w:bottom w:val="none" w:sz="0" w:space="0" w:color="auto"/>
        <w:right w:val="none" w:sz="0" w:space="0" w:color="auto"/>
      </w:divBdr>
      <w:divsChild>
        <w:div w:id="278875685">
          <w:marLeft w:val="0"/>
          <w:marRight w:val="0"/>
          <w:marTop w:val="0"/>
          <w:marBottom w:val="0"/>
          <w:divBdr>
            <w:top w:val="none" w:sz="0" w:space="0" w:color="auto"/>
            <w:left w:val="none" w:sz="0" w:space="0" w:color="auto"/>
            <w:bottom w:val="none" w:sz="0" w:space="0" w:color="auto"/>
            <w:right w:val="none" w:sz="0" w:space="0" w:color="auto"/>
          </w:divBdr>
          <w:divsChild>
            <w:div w:id="1143961542">
              <w:marLeft w:val="0"/>
              <w:marRight w:val="0"/>
              <w:marTop w:val="0"/>
              <w:marBottom w:val="0"/>
              <w:divBdr>
                <w:top w:val="none" w:sz="0" w:space="0" w:color="auto"/>
                <w:left w:val="none" w:sz="0" w:space="0" w:color="auto"/>
                <w:bottom w:val="none" w:sz="0" w:space="0" w:color="auto"/>
                <w:right w:val="none" w:sz="0" w:space="0" w:color="auto"/>
              </w:divBdr>
              <w:divsChild>
                <w:div w:id="1578246178">
                  <w:marLeft w:val="0"/>
                  <w:marRight w:val="0"/>
                  <w:marTop w:val="0"/>
                  <w:marBottom w:val="0"/>
                  <w:divBdr>
                    <w:top w:val="none" w:sz="0" w:space="0" w:color="auto"/>
                    <w:left w:val="none" w:sz="0" w:space="0" w:color="auto"/>
                    <w:bottom w:val="none" w:sz="0" w:space="0" w:color="auto"/>
                    <w:right w:val="none" w:sz="0" w:space="0" w:color="auto"/>
                  </w:divBdr>
                  <w:divsChild>
                    <w:div w:id="1443263615">
                      <w:marLeft w:val="0"/>
                      <w:marRight w:val="0"/>
                      <w:marTop w:val="0"/>
                      <w:marBottom w:val="0"/>
                      <w:divBdr>
                        <w:top w:val="none" w:sz="0" w:space="0" w:color="auto"/>
                        <w:left w:val="none" w:sz="0" w:space="0" w:color="auto"/>
                        <w:bottom w:val="none" w:sz="0" w:space="0" w:color="auto"/>
                        <w:right w:val="none" w:sz="0" w:space="0" w:color="auto"/>
                      </w:divBdr>
                      <w:divsChild>
                        <w:div w:id="1490711229">
                          <w:marLeft w:val="0"/>
                          <w:marRight w:val="0"/>
                          <w:marTop w:val="0"/>
                          <w:marBottom w:val="0"/>
                          <w:divBdr>
                            <w:top w:val="none" w:sz="0" w:space="0" w:color="auto"/>
                            <w:left w:val="none" w:sz="0" w:space="0" w:color="auto"/>
                            <w:bottom w:val="none" w:sz="0" w:space="0" w:color="auto"/>
                            <w:right w:val="none" w:sz="0" w:space="0" w:color="auto"/>
                          </w:divBdr>
                          <w:divsChild>
                            <w:div w:id="2116509875">
                              <w:marLeft w:val="0"/>
                              <w:marRight w:val="0"/>
                              <w:marTop w:val="0"/>
                              <w:marBottom w:val="0"/>
                              <w:divBdr>
                                <w:top w:val="none" w:sz="0" w:space="0" w:color="auto"/>
                                <w:left w:val="none" w:sz="0" w:space="0" w:color="auto"/>
                                <w:bottom w:val="none" w:sz="0" w:space="0" w:color="auto"/>
                                <w:right w:val="none" w:sz="0" w:space="0" w:color="auto"/>
                              </w:divBdr>
                              <w:divsChild>
                                <w:div w:id="1023748913">
                                  <w:marLeft w:val="0"/>
                                  <w:marRight w:val="0"/>
                                  <w:marTop w:val="0"/>
                                  <w:marBottom w:val="0"/>
                                  <w:divBdr>
                                    <w:top w:val="none" w:sz="0" w:space="0" w:color="auto"/>
                                    <w:left w:val="none" w:sz="0" w:space="0" w:color="auto"/>
                                    <w:bottom w:val="none" w:sz="0" w:space="0" w:color="auto"/>
                                    <w:right w:val="none" w:sz="0" w:space="0" w:color="auto"/>
                                  </w:divBdr>
                                  <w:divsChild>
                                    <w:div w:id="855847677">
                                      <w:marLeft w:val="0"/>
                                      <w:marRight w:val="0"/>
                                      <w:marTop w:val="0"/>
                                      <w:marBottom w:val="0"/>
                                      <w:divBdr>
                                        <w:top w:val="none" w:sz="0" w:space="0" w:color="auto"/>
                                        <w:left w:val="none" w:sz="0" w:space="0" w:color="auto"/>
                                        <w:bottom w:val="none" w:sz="0" w:space="0" w:color="auto"/>
                                        <w:right w:val="none" w:sz="0" w:space="0" w:color="auto"/>
                                      </w:divBdr>
                                      <w:divsChild>
                                        <w:div w:id="348219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871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071573">
      <w:bodyDiv w:val="1"/>
      <w:marLeft w:val="0"/>
      <w:marRight w:val="0"/>
      <w:marTop w:val="0"/>
      <w:marBottom w:val="0"/>
      <w:divBdr>
        <w:top w:val="none" w:sz="0" w:space="0" w:color="auto"/>
        <w:left w:val="none" w:sz="0" w:space="0" w:color="auto"/>
        <w:bottom w:val="none" w:sz="0" w:space="0" w:color="auto"/>
        <w:right w:val="none" w:sz="0" w:space="0" w:color="auto"/>
      </w:divBdr>
      <w:divsChild>
        <w:div w:id="1017268884">
          <w:marLeft w:val="0"/>
          <w:marRight w:val="0"/>
          <w:marTop w:val="0"/>
          <w:marBottom w:val="0"/>
          <w:divBdr>
            <w:top w:val="none" w:sz="0" w:space="0" w:color="auto"/>
            <w:left w:val="none" w:sz="0" w:space="0" w:color="auto"/>
            <w:bottom w:val="none" w:sz="0" w:space="0" w:color="auto"/>
            <w:right w:val="none" w:sz="0" w:space="0" w:color="auto"/>
          </w:divBdr>
          <w:divsChild>
            <w:div w:id="1463957740">
              <w:marLeft w:val="0"/>
              <w:marRight w:val="0"/>
              <w:marTop w:val="0"/>
              <w:marBottom w:val="0"/>
              <w:divBdr>
                <w:top w:val="none" w:sz="0" w:space="0" w:color="auto"/>
                <w:left w:val="none" w:sz="0" w:space="0" w:color="auto"/>
                <w:bottom w:val="none" w:sz="0" w:space="0" w:color="auto"/>
                <w:right w:val="none" w:sz="0" w:space="0" w:color="auto"/>
              </w:divBdr>
              <w:divsChild>
                <w:div w:id="79254553">
                  <w:marLeft w:val="0"/>
                  <w:marRight w:val="0"/>
                  <w:marTop w:val="0"/>
                  <w:marBottom w:val="0"/>
                  <w:divBdr>
                    <w:top w:val="none" w:sz="0" w:space="0" w:color="auto"/>
                    <w:left w:val="none" w:sz="0" w:space="0" w:color="auto"/>
                    <w:bottom w:val="none" w:sz="0" w:space="0" w:color="auto"/>
                    <w:right w:val="none" w:sz="0" w:space="0" w:color="auto"/>
                  </w:divBdr>
                  <w:divsChild>
                    <w:div w:id="139546273">
                      <w:marLeft w:val="0"/>
                      <w:marRight w:val="0"/>
                      <w:marTop w:val="0"/>
                      <w:marBottom w:val="0"/>
                      <w:divBdr>
                        <w:top w:val="none" w:sz="0" w:space="0" w:color="auto"/>
                        <w:left w:val="none" w:sz="0" w:space="0" w:color="auto"/>
                        <w:bottom w:val="none" w:sz="0" w:space="0" w:color="auto"/>
                        <w:right w:val="none" w:sz="0" w:space="0" w:color="auto"/>
                      </w:divBdr>
                      <w:divsChild>
                        <w:div w:id="18709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617758">
      <w:bodyDiv w:val="1"/>
      <w:marLeft w:val="0"/>
      <w:marRight w:val="0"/>
      <w:marTop w:val="0"/>
      <w:marBottom w:val="0"/>
      <w:divBdr>
        <w:top w:val="none" w:sz="0" w:space="0" w:color="auto"/>
        <w:left w:val="none" w:sz="0" w:space="0" w:color="auto"/>
        <w:bottom w:val="none" w:sz="0" w:space="0" w:color="auto"/>
        <w:right w:val="none" w:sz="0" w:space="0" w:color="auto"/>
      </w:divBdr>
    </w:div>
    <w:div w:id="2091004936">
      <w:bodyDiv w:val="1"/>
      <w:marLeft w:val="0"/>
      <w:marRight w:val="0"/>
      <w:marTop w:val="0"/>
      <w:marBottom w:val="200"/>
      <w:divBdr>
        <w:top w:val="none" w:sz="0" w:space="0" w:color="auto"/>
        <w:left w:val="none" w:sz="0" w:space="0" w:color="auto"/>
        <w:bottom w:val="none" w:sz="0" w:space="0" w:color="auto"/>
        <w:right w:val="none" w:sz="0" w:space="0" w:color="auto"/>
      </w:divBdr>
      <w:divsChild>
        <w:div w:id="1667243243">
          <w:marLeft w:val="0"/>
          <w:marRight w:val="0"/>
          <w:marTop w:val="0"/>
          <w:marBottom w:val="0"/>
          <w:divBdr>
            <w:top w:val="none" w:sz="0" w:space="0" w:color="auto"/>
            <w:left w:val="none" w:sz="0" w:space="0" w:color="auto"/>
            <w:bottom w:val="none" w:sz="0" w:space="0" w:color="auto"/>
            <w:right w:val="none" w:sz="0" w:space="0" w:color="auto"/>
          </w:divBdr>
          <w:divsChild>
            <w:div w:id="1852137418">
              <w:marLeft w:val="0"/>
              <w:marRight w:val="0"/>
              <w:marTop w:val="0"/>
              <w:marBottom w:val="0"/>
              <w:divBdr>
                <w:top w:val="none" w:sz="0" w:space="0" w:color="auto"/>
                <w:left w:val="none" w:sz="0" w:space="0" w:color="auto"/>
                <w:bottom w:val="none" w:sz="0" w:space="0" w:color="auto"/>
                <w:right w:val="none" w:sz="0" w:space="0" w:color="auto"/>
              </w:divBdr>
              <w:divsChild>
                <w:div w:id="759569876">
                  <w:marLeft w:val="0"/>
                  <w:marRight w:val="0"/>
                  <w:marTop w:val="0"/>
                  <w:marBottom w:val="0"/>
                  <w:divBdr>
                    <w:top w:val="none" w:sz="0" w:space="0" w:color="auto"/>
                    <w:left w:val="none" w:sz="0" w:space="0" w:color="auto"/>
                    <w:bottom w:val="none" w:sz="0" w:space="0" w:color="auto"/>
                    <w:right w:val="none" w:sz="0" w:space="0" w:color="auto"/>
                  </w:divBdr>
                  <w:divsChild>
                    <w:div w:id="1029113230">
                      <w:marLeft w:val="0"/>
                      <w:marRight w:val="0"/>
                      <w:marTop w:val="0"/>
                      <w:marBottom w:val="0"/>
                      <w:divBdr>
                        <w:top w:val="none" w:sz="0" w:space="0" w:color="auto"/>
                        <w:left w:val="none" w:sz="0" w:space="0" w:color="auto"/>
                        <w:bottom w:val="none" w:sz="0" w:space="0" w:color="auto"/>
                        <w:right w:val="none" w:sz="0" w:space="0" w:color="auto"/>
                      </w:divBdr>
                      <w:divsChild>
                        <w:div w:id="1272395918">
                          <w:marLeft w:val="0"/>
                          <w:marRight w:val="0"/>
                          <w:marTop w:val="0"/>
                          <w:marBottom w:val="0"/>
                          <w:divBdr>
                            <w:top w:val="none" w:sz="0" w:space="0" w:color="auto"/>
                            <w:left w:val="none" w:sz="0" w:space="0" w:color="auto"/>
                            <w:bottom w:val="none" w:sz="0" w:space="0" w:color="auto"/>
                            <w:right w:val="none" w:sz="0" w:space="0" w:color="auto"/>
                          </w:divBdr>
                          <w:divsChild>
                            <w:div w:id="1156263164">
                              <w:marLeft w:val="0"/>
                              <w:marRight w:val="0"/>
                              <w:marTop w:val="0"/>
                              <w:marBottom w:val="0"/>
                              <w:divBdr>
                                <w:top w:val="none" w:sz="0" w:space="0" w:color="auto"/>
                                <w:left w:val="none" w:sz="0" w:space="0" w:color="auto"/>
                                <w:bottom w:val="none" w:sz="0" w:space="0" w:color="auto"/>
                                <w:right w:val="none" w:sz="0" w:space="0" w:color="auto"/>
                              </w:divBdr>
                              <w:divsChild>
                                <w:div w:id="4931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ie.gouv.fr/files/files/directions_services/observatoire-des-jeux/ODJ_Avis_enquete_de_prevalence.pdf" TargetMode="External"/><Relationship Id="rId18" Type="http://schemas.openxmlformats.org/officeDocument/2006/relationships/hyperlink" Target="http://www.economie.gouv.fr/files/files/directions_services/observatoire-des-jeux/Note_5.pdf" TargetMode="External"/><Relationship Id="rId26" Type="http://schemas.openxmlformats.org/officeDocument/2006/relationships/hyperlink" Target="https://bo-economie.jouve-hdi.com/observatoire-des-jeux/taux-retour-au-joueur-trj-addition-et-blanchiment"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link.springer.com/article/10.1007%2Fs10899-015-9541-2" TargetMode="External"/><Relationship Id="rId34" Type="http://schemas.openxmlformats.org/officeDocument/2006/relationships/hyperlink" Target="http://www.economie.gouv.fr/files/files/directions_services/observatoire-des-jeux/Le_big_data_peut-il_etre_utile_a_la_sante_publique,_Montreal,_juin_2015.pdf" TargetMode="External"/><Relationship Id="rId42"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economie.gouv.fr/files/files/directions_services/observatoire-des-jeux/Avis_ODJ_enque%CC%82te_JEL_recommandations_).pdf" TargetMode="External"/><Relationship Id="rId17" Type="http://schemas.openxmlformats.org/officeDocument/2006/relationships/hyperlink" Target="http://www.economie.gouv.fr/files/files/directions_services/observatoire-des-jeux/Note_4.pdf" TargetMode="External"/><Relationship Id="rId25" Type="http://schemas.openxmlformats.org/officeDocument/2006/relationships/hyperlink" Target="http://www.ofdt.fr/publications/collections/periodiques/lettre-tendances/niveaux-et-pratiques-jeux-de-hasard-et-argent-en-2010-tendances-77-septembre-2011/" TargetMode="External"/><Relationship Id="rId33" Type="http://schemas.openxmlformats.org/officeDocument/2006/relationships/hyperlink" Target="http://www.economie.gouv.fr/observatoire-des-jeux/partenaires-p" TargetMode="External"/><Relationship Id="rId38" Type="http://schemas.openxmlformats.org/officeDocument/2006/relationships/image" Target="media/image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onomie.gouv.fr/files/files/directions_services/observatoire-des-jeux/Note_3.pdf" TargetMode="External"/><Relationship Id="rId20" Type="http://schemas.openxmlformats.org/officeDocument/2006/relationships/hyperlink" Target="http://www.pistes.fr/swaps/65.htm" TargetMode="External"/><Relationship Id="rId29" Type="http://schemas.openxmlformats.org/officeDocument/2006/relationships/hyperlink" Target="http://www.economie.gouv.fr/observatoire-des-jeux"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e.gouv.fr/files/files/directions_services/observatoire-des-jeux/Recommandations_TRJ.pdf" TargetMode="External"/><Relationship Id="rId24" Type="http://schemas.openxmlformats.org/officeDocument/2006/relationships/hyperlink" Target="https://bo-economie.jouve-hdi.com/observatoire-des-jeux/jah-sur-internet-en-france-en-2012" TargetMode="External"/><Relationship Id="rId32" Type="http://schemas.openxmlformats.org/officeDocument/2006/relationships/hyperlink" Target="http://www.economie.gouv.fr/observatoire-des-jeux/glossaire-p"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onomie.gouv.fr/files/files/directions_services/observatoire-des-jeux/Note_2.pdf" TargetMode="External"/><Relationship Id="rId23" Type="http://schemas.openxmlformats.org/officeDocument/2006/relationships/hyperlink" Target="http://www.economie.gouv.fr/files/files/directions_services/observatoire-des-jeux/Valleur-Three_Pathways_Model.pdf" TargetMode="External"/><Relationship Id="rId28" Type="http://schemas.openxmlformats.org/officeDocument/2006/relationships/hyperlink" Target="http://www.economie.gouv.fr/observatoire-des-jeux/activites-p" TargetMode="External"/><Relationship Id="rId36" Type="http://schemas.openxmlformats.org/officeDocument/2006/relationships/footer" Target="footer2.xml"/><Relationship Id="rId10" Type="http://schemas.openxmlformats.org/officeDocument/2006/relationships/hyperlink" Target="http://www.economie.gouv.fr/files/files/directions_services/observatoire-des-jeux/avis_odj_0.pdf" TargetMode="External"/><Relationship Id="rId19" Type="http://schemas.openxmlformats.org/officeDocument/2006/relationships/hyperlink" Target="http://www.economie.gouv.fr/files/files/directions_services/observatoire-des-jeux/Note_6.pdf" TargetMode="External"/><Relationship Id="rId31" Type="http://schemas.openxmlformats.org/officeDocument/2006/relationships/hyperlink" Target="http://www.economie.gouv.fr/observatoire-des-jeux/ressources-p" TargetMode="External"/><Relationship Id="rId44"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www.economie.gouv.fr/files/files/directions_services/observatoire-des-jeux/Note_1.pdf" TargetMode="External"/><Relationship Id="rId22" Type="http://schemas.openxmlformats.org/officeDocument/2006/relationships/hyperlink" Target="http://drogues-sante-societe.ca/jeu-problematique-en-france-une-premiere-enquete-nationale/" TargetMode="External"/><Relationship Id="rId27" Type="http://schemas.openxmlformats.org/officeDocument/2006/relationships/image" Target="media/image3.png"/><Relationship Id="rId30" Type="http://schemas.openxmlformats.org/officeDocument/2006/relationships/hyperlink" Target="http://www.economie.gouv.fr/observatoire-des-jeux" TargetMode="External"/><Relationship Id="rId35" Type="http://schemas.openxmlformats.org/officeDocument/2006/relationships/footer" Target="footer1.xml"/><Relationship Id="rId43"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3D09-C716-4CB9-8E05-8B3D0B96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11631</Words>
  <Characters>63975</Characters>
  <Application>Microsoft Office Word</Application>
  <DocSecurity>0</DocSecurity>
  <Lines>533</Lines>
  <Paragraphs>150</Paragraphs>
  <ScaleCrop>false</ScaleCrop>
  <HeadingPairs>
    <vt:vector size="2" baseType="variant">
      <vt:variant>
        <vt:lpstr>Titre</vt:lpstr>
      </vt:variant>
      <vt:variant>
        <vt:i4>1</vt:i4>
      </vt:variant>
    </vt:vector>
  </HeadingPairs>
  <TitlesOfParts>
    <vt:vector size="1" baseType="lpstr">
      <vt:lpstr>Avant-propos</vt:lpstr>
    </vt:vector>
  </TitlesOfParts>
  <Company>INSERM</Company>
  <LinksUpToDate>false</LinksUpToDate>
  <CharactersWithSpaces>75456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Jean-Michel Costes</dc:creator>
  <cp:lastModifiedBy>EROUKMANOFF Vincent</cp:lastModifiedBy>
  <cp:revision>2</cp:revision>
  <cp:lastPrinted>2011-04-14T14:54:00Z</cp:lastPrinted>
  <dcterms:created xsi:type="dcterms:W3CDTF">2016-03-30T08:46:00Z</dcterms:created>
  <dcterms:modified xsi:type="dcterms:W3CDTF">2016-03-30T08:46:00Z</dcterms:modified>
</cp:coreProperties>
</file>