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901A" w14:textId="3F0CB6E1" w:rsidR="00F616B9" w:rsidRDefault="00A2509F" w:rsidP="005C7D85">
      <w:pPr>
        <w:ind w:left="142"/>
      </w:pPr>
      <w:r>
        <w:rPr>
          <w:noProof/>
          <w:lang w:eastAsia="fr-FR"/>
        </w:rPr>
        <w:pict w14:anchorId="62FB1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38pt">
            <v:imagedata r:id="rId6" o:title="En tête fiche régionale - Auvergne RA V2"/>
          </v:shape>
        </w:pict>
      </w:r>
    </w:p>
    <w:p w14:paraId="51F132BA" w14:textId="41FA825D" w:rsidR="00AB57B2" w:rsidRPr="00AB57B2" w:rsidRDefault="007D4531" w:rsidP="00AB57B2">
      <w:pPr>
        <w:pStyle w:val="Titre2"/>
        <w:spacing w:after="120"/>
      </w:pPr>
      <w:r>
        <w:rPr>
          <w:noProof/>
          <w:lang w:eastAsia="fr-FR"/>
        </w:rPr>
        <mc:AlternateContent>
          <mc:Choice Requires="wps">
            <w:drawing>
              <wp:anchor distT="0" distB="0" distL="114300" distR="114300" simplePos="0" relativeHeight="251660288" behindDoc="0" locked="0" layoutInCell="1" allowOverlap="1" wp14:anchorId="0405982D" wp14:editId="1058FDF5">
                <wp:simplePos x="0" y="0"/>
                <wp:positionH relativeFrom="column">
                  <wp:posOffset>148924</wp:posOffset>
                </wp:positionH>
                <wp:positionV relativeFrom="paragraph">
                  <wp:posOffset>994862</wp:posOffset>
                </wp:positionV>
                <wp:extent cx="423545" cy="472698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3545" cy="4726983"/>
                        </a:xfrm>
                        <a:prstGeom prst="rect">
                          <a:avLst/>
                        </a:prstGeom>
                        <a:solidFill>
                          <a:srgbClr val="D5D5CB">
                            <a:alpha val="83922"/>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D964D" w14:textId="77777777" w:rsidR="009950A9" w:rsidRPr="008361EB" w:rsidRDefault="009950A9" w:rsidP="00F616B9">
                            <w:pPr>
                              <w:jc w:val="center"/>
                              <w:rPr>
                                <w:b/>
                                <w:color w:val="3B3838" w:themeColor="background2" w:themeShade="40"/>
                                <w:sz w:val="32"/>
                                <w:szCs w:val="28"/>
                                <w14:textOutline w14:w="9525" w14:cap="rnd" w14:cmpd="sng" w14:algn="ctr">
                                  <w14:noFill/>
                                  <w14:prstDash w14:val="solid"/>
                                  <w14:bevel/>
                                </w14:textOutline>
                              </w:rPr>
                            </w:pPr>
                            <w:r w:rsidRPr="008361EB">
                              <w:rPr>
                                <w:b/>
                                <w:color w:val="3B3838" w:themeColor="background2" w:themeShade="40"/>
                                <w:sz w:val="32"/>
                                <w:szCs w:val="28"/>
                                <w14:textOutline w14:w="9525" w14:cap="rnd" w14:cmpd="sng" w14:algn="ctr">
                                  <w14:noFill/>
                                  <w14:prstDash w14:val="solid"/>
                                  <w14:bevel/>
                                </w14:textOutline>
                              </w:rPr>
                              <w:t>Synthèse</w:t>
                            </w:r>
                          </w:p>
                        </w:txbxContent>
                      </wps:txbx>
                      <wps:bodyPr rot="0" spcFirstLastPara="0" vertOverflow="overflow" horzOverflow="overflow" vert="vert270"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5982D" id="_x0000_t202" coordsize="21600,21600" o:spt="202" path="m,l,21600r21600,l21600,xe">
                <v:stroke joinstyle="miter"/>
                <v:path gradientshapeok="t" o:connecttype="rect"/>
              </v:shapetype>
              <v:shape id="Zone de texte 4" o:spid="_x0000_s1026" type="#_x0000_t202" style="position:absolute;margin-left:11.75pt;margin-top:78.35pt;width:33.35pt;height:3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" fillcolor="#d5d5cb" stroked="f" strokeweight=".5pt">
                <v:fill opacity="54998f"/>
                <v:textbox style="layout-flow:vertical;mso-layout-flow-alt:bottom-to-top" inset=",1mm">
                  <w:txbxContent>
                    <w:p w14:paraId="225D964D" w14:textId="77777777" w:rsidR="009950A9" w:rsidRPr="008361EB" w:rsidRDefault="009950A9" w:rsidP="00F616B9">
                      <w:pPr>
                        <w:jc w:val="center"/>
                        <w:rPr>
                          <w:b/>
                          <w:color w:val="3B3838" w:themeColor="background2" w:themeShade="40"/>
                          <w:sz w:val="32"/>
                          <w:szCs w:val="28"/>
                          <w14:textOutline w14:w="9525" w14:cap="rnd" w14:cmpd="sng" w14:algn="ctr">
                            <w14:noFill/>
                            <w14:prstDash w14:val="solid"/>
                            <w14:bevel/>
                          </w14:textOutline>
                        </w:rPr>
                      </w:pPr>
                      <w:r w:rsidRPr="008361EB">
                        <w:rPr>
                          <w:b/>
                          <w:color w:val="3B3838" w:themeColor="background2" w:themeShade="40"/>
                          <w:sz w:val="32"/>
                          <w:szCs w:val="28"/>
                          <w14:textOutline w14:w="9525" w14:cap="rnd" w14:cmpd="sng" w14:algn="ctr">
                            <w14:noFill/>
                            <w14:prstDash w14:val="solid"/>
                            <w14:bevel/>
                          </w14:textOutline>
                        </w:rPr>
                        <w:t>Synthèse</w:t>
                      </w:r>
                    </w:p>
                  </w:txbxContent>
                </v:textbox>
              </v:shape>
            </w:pict>
          </mc:Fallback>
        </mc:AlternateContent>
      </w:r>
      <w:r w:rsidR="0089402F">
        <w:rPr>
          <w:noProof/>
          <w:lang w:eastAsia="fr-FR"/>
        </w:rPr>
        <mc:AlternateContent>
          <mc:Choice Requires="wps">
            <w:drawing>
              <wp:anchor distT="45720" distB="45720" distL="114300" distR="114300" simplePos="0" relativeHeight="251659264" behindDoc="0" locked="0" layoutInCell="1" allowOverlap="1" wp14:anchorId="7E263F3D" wp14:editId="42680A85">
                <wp:simplePos x="0" y="0"/>
                <wp:positionH relativeFrom="margin">
                  <wp:posOffset>14605</wp:posOffset>
                </wp:positionH>
                <wp:positionV relativeFrom="paragraph">
                  <wp:posOffset>986790</wp:posOffset>
                </wp:positionV>
                <wp:extent cx="5968365" cy="52882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5288280"/>
                        </a:xfrm>
                        <a:prstGeom prst="rect">
                          <a:avLst/>
                        </a:prstGeom>
                        <a:noFill/>
                        <a:ln w="9525">
                          <a:noFill/>
                          <a:miter lim="800000"/>
                          <a:headEnd/>
                          <a:tailEnd/>
                        </a:ln>
                      </wps:spPr>
                      <wps:txbx>
                        <w:txbxContent>
                          <w:p w14:paraId="72DE0395" w14:textId="76F0A899" w:rsidR="009950A9" w:rsidRPr="00AA164D" w:rsidRDefault="00E715CC" w:rsidP="00F616B9">
                            <w:pPr>
                              <w:ind w:left="851"/>
                              <w:jc w:val="both"/>
                            </w:pPr>
                            <w:r>
                              <w:t>L</w:t>
                            </w:r>
                            <w:r w:rsidR="009950A9" w:rsidRPr="00AA164D">
                              <w:t>a population adulte</w:t>
                            </w:r>
                            <w:r w:rsidR="009950A9">
                              <w:t xml:space="preserve"> </w:t>
                            </w:r>
                            <w:r w:rsidR="001B60C8">
                              <w:t>d’</w:t>
                            </w:r>
                            <w:r>
                              <w:t xml:space="preserve">Auvergne-Rhône-Alpes </w:t>
                            </w:r>
                            <w:r w:rsidR="009950A9">
                              <w:t>présente des niveaux d’usage</w:t>
                            </w:r>
                            <w:r>
                              <w:t xml:space="preserve"> de tabac</w:t>
                            </w:r>
                            <w:r w:rsidR="009950A9">
                              <w:t xml:space="preserve"> quasi-identiques aux moyennes nationales</w:t>
                            </w:r>
                            <w:r w:rsidR="007B7CFB">
                              <w:t>, excepté pour l’usage intensif en retrait dans la région</w:t>
                            </w:r>
                            <w:r w:rsidR="009950A9">
                              <w:t>.</w:t>
                            </w:r>
                            <w:r w:rsidR="009950A9" w:rsidRPr="00AA164D">
                              <w:t xml:space="preserve"> </w:t>
                            </w:r>
                            <w:r w:rsidR="009950A9">
                              <w:t xml:space="preserve">En revanche, les jeunes </w:t>
                            </w:r>
                            <w:r w:rsidR="00F87F70">
                              <w:t xml:space="preserve">de 17 ans </w:t>
                            </w:r>
                            <w:r w:rsidR="009950A9">
                              <w:t xml:space="preserve">de la région se caractérisent par des niveaux d’expérimentation (63 % </w:t>
                            </w:r>
                            <w:r w:rsidR="009950A9" w:rsidRPr="00664412">
                              <w:rPr>
                                <w:i/>
                              </w:rPr>
                              <w:t>vs</w:t>
                            </w:r>
                            <w:r w:rsidR="009950A9">
                              <w:t xml:space="preserve"> 59 %) et </w:t>
                            </w:r>
                            <w:r w:rsidR="00F675BF">
                              <w:t xml:space="preserve">d’usage </w:t>
                            </w:r>
                            <w:r w:rsidR="009950A9">
                              <w:t xml:space="preserve">quotidien (27 % </w:t>
                            </w:r>
                            <w:r w:rsidR="009950A9" w:rsidRPr="00664412">
                              <w:rPr>
                                <w:i/>
                              </w:rPr>
                              <w:t>vs</w:t>
                            </w:r>
                            <w:r w:rsidR="009950A9">
                              <w:t xml:space="preserve"> 25 %) supérieurs à ceux observés en </w:t>
                            </w:r>
                            <w:r w:rsidR="001B60C8">
                              <w:t>France métropolitaine</w:t>
                            </w:r>
                            <w:r w:rsidR="009950A9">
                              <w:t>.</w:t>
                            </w:r>
                            <w:r>
                              <w:t xml:space="preserve"> Malgré ce contexte de consommation</w:t>
                            </w:r>
                            <w:r w:rsidRPr="00AA164D">
                              <w:t xml:space="preserve">, la mortalité liée aux cancers des voies pulmonaires </w:t>
                            </w:r>
                            <w:r>
                              <w:t xml:space="preserve">est en deçà </w:t>
                            </w:r>
                            <w:r w:rsidRPr="00AA164D">
                              <w:t>de la moyenne nationale.</w:t>
                            </w:r>
                          </w:p>
                          <w:p w14:paraId="4A3C64BD" w14:textId="14F925C8" w:rsidR="009950A9" w:rsidRDefault="009950A9" w:rsidP="00AF147D">
                            <w:pPr>
                              <w:ind w:left="851"/>
                              <w:jc w:val="both"/>
                            </w:pPr>
                            <w:r>
                              <w:t>Un profil similaire apparaît concernant l’alcool : pas de différence par rapport à la moyenne nationale chez les adultes et une surconsommation des jeunes de 17 ans, tant pour l’expérimentation (87 %</w:t>
                            </w:r>
                            <w:r w:rsidR="001B60C8">
                              <w:t xml:space="preserve"> </w:t>
                            </w:r>
                            <w:r w:rsidRPr="00664412">
                              <w:rPr>
                                <w:i/>
                              </w:rPr>
                              <w:t>vs</w:t>
                            </w:r>
                            <w:r>
                              <w:t xml:space="preserve"> 86 %) que l’usage au cours du mois (70 % </w:t>
                            </w:r>
                            <w:r w:rsidRPr="00664412">
                              <w:rPr>
                                <w:i/>
                              </w:rPr>
                              <w:t>vs</w:t>
                            </w:r>
                            <w:r>
                              <w:t xml:space="preserve"> 66 %) ou </w:t>
                            </w:r>
                            <w:r w:rsidR="00F675BF">
                              <w:t xml:space="preserve">l’usage </w:t>
                            </w:r>
                            <w:r>
                              <w:t xml:space="preserve">régulier (10 % </w:t>
                            </w:r>
                            <w:r w:rsidRPr="00664412">
                              <w:rPr>
                                <w:i/>
                              </w:rPr>
                              <w:t>vs</w:t>
                            </w:r>
                            <w:r>
                              <w:t xml:space="preserve"> 8 %). En termes de conséquences des usages, la région Auvergne-Rhône-Alpes affiche un niveau de mortalité prématurée liée à l’alcool</w:t>
                            </w:r>
                            <w:r w:rsidRPr="00F85A10">
                              <w:t xml:space="preserve"> </w:t>
                            </w:r>
                            <w:r>
                              <w:t xml:space="preserve">(alcoolisme et cirrhose) inférieur à la moyenne nationale. Si le taux d’interpellation pour ivresses sur la voie publique est sensiblement inférieur, les accidents corporels ou mortels dus à l’alcool présentent quant </w:t>
                            </w:r>
                            <w:r w:rsidR="00F675BF">
                              <w:t xml:space="preserve">à </w:t>
                            </w:r>
                            <w:r>
                              <w:t>eux des niveaux supérieurs.</w:t>
                            </w:r>
                          </w:p>
                          <w:p w14:paraId="09F17903" w14:textId="74D335BF" w:rsidR="009950A9" w:rsidRDefault="009950A9" w:rsidP="00F616B9">
                            <w:pPr>
                              <w:ind w:left="851"/>
                              <w:jc w:val="both"/>
                              <w:rPr>
                                <w:spacing w:val="-3"/>
                              </w:rPr>
                            </w:pPr>
                            <w:r>
                              <w:t>Concernant le cannabis, les usages en population adulte ne se distinguent pas non plus de la moyenne nationale, alors que, là encore, les niveaux parmi les 17 ans s’avèrent plus élevés</w:t>
                            </w:r>
                            <w:r w:rsidR="007D4531">
                              <w:t>,</w:t>
                            </w:r>
                            <w:r>
                              <w:t xml:space="preserve"> quel que soit l’indicateur considéré : expérimentation (42</w:t>
                            </w:r>
                            <w:r w:rsidR="007D4531">
                              <w:t> %</w:t>
                            </w:r>
                            <w:r w:rsidRPr="00664412">
                              <w:rPr>
                                <w:i/>
                              </w:rPr>
                              <w:t xml:space="preserve"> vs</w:t>
                            </w:r>
                            <w:r>
                              <w:t xml:space="preserve"> 39</w:t>
                            </w:r>
                            <w:r w:rsidR="007D4531">
                              <w:t> %</w:t>
                            </w:r>
                            <w:r>
                              <w:t>), usage au cours du mois (23</w:t>
                            </w:r>
                            <w:r w:rsidR="007D4531">
                              <w:t> %</w:t>
                            </w:r>
                            <w:r>
                              <w:t xml:space="preserve"> </w:t>
                            </w:r>
                            <w:r w:rsidRPr="00664412">
                              <w:rPr>
                                <w:i/>
                              </w:rPr>
                              <w:t>vs</w:t>
                            </w:r>
                            <w:r>
                              <w:t xml:space="preserve"> 21</w:t>
                            </w:r>
                            <w:r w:rsidR="007D4531">
                              <w:t> %</w:t>
                            </w:r>
                            <w:r>
                              <w:t xml:space="preserve">) ou </w:t>
                            </w:r>
                            <w:r w:rsidR="00F675BF">
                              <w:t xml:space="preserve">usage </w:t>
                            </w:r>
                            <w:r>
                              <w:t>régulier (8</w:t>
                            </w:r>
                            <w:r w:rsidR="007D4531">
                              <w:t> %</w:t>
                            </w:r>
                            <w:r w:rsidRPr="00664412">
                              <w:rPr>
                                <w:i/>
                              </w:rPr>
                              <w:t xml:space="preserve"> vs</w:t>
                            </w:r>
                            <w:r>
                              <w:t xml:space="preserve"> 7</w:t>
                            </w:r>
                            <w:r w:rsidR="007D4531">
                              <w:t> %</w:t>
                            </w:r>
                            <w:r>
                              <w:t xml:space="preserve">). </w:t>
                            </w:r>
                            <w:r w:rsidR="00893D49">
                              <w:t>Malgré ces prévalences plus élevées,</w:t>
                            </w:r>
                            <w:r>
                              <w:t xml:space="preserve"> le nombre d’interpellations </w:t>
                            </w:r>
                            <w:r w:rsidRPr="00EA0CBA">
                              <w:rPr>
                                <w:spacing w:val="-3"/>
                              </w:rPr>
                              <w:t>pour infractions à la législ</w:t>
                            </w:r>
                            <w:r>
                              <w:rPr>
                                <w:spacing w:val="-3"/>
                              </w:rPr>
                              <w:t xml:space="preserve">ation sur les stupéfiants (ILS), concernant principalement le cannabis, </w:t>
                            </w:r>
                            <w:r w:rsidR="00893D49">
                              <w:rPr>
                                <w:spacing w:val="-3"/>
                              </w:rPr>
                              <w:t>demeure</w:t>
                            </w:r>
                            <w:r w:rsidRPr="00EA0CBA">
                              <w:rPr>
                                <w:spacing w:val="-3"/>
                              </w:rPr>
                              <w:t xml:space="preserve"> à un niveau </w:t>
                            </w:r>
                            <w:r w:rsidR="00893D49">
                              <w:rPr>
                                <w:spacing w:val="-3"/>
                              </w:rPr>
                              <w:t>infé</w:t>
                            </w:r>
                            <w:r>
                              <w:rPr>
                                <w:spacing w:val="-3"/>
                              </w:rPr>
                              <w:t xml:space="preserve">rieur à celui </w:t>
                            </w:r>
                            <w:r w:rsidR="00893D49">
                              <w:rPr>
                                <w:spacing w:val="-3"/>
                              </w:rPr>
                              <w:t xml:space="preserve">observé </w:t>
                            </w:r>
                            <w:r w:rsidR="001B60C8">
                              <w:rPr>
                                <w:spacing w:val="-3"/>
                              </w:rPr>
                              <w:t>ailleurs en</w:t>
                            </w:r>
                            <w:r w:rsidR="00664412">
                              <w:rPr>
                                <w:spacing w:val="-3"/>
                              </w:rPr>
                              <w:t xml:space="preserve"> </w:t>
                            </w:r>
                            <w:r>
                              <w:rPr>
                                <w:spacing w:val="-3"/>
                              </w:rPr>
                              <w:t>France.</w:t>
                            </w:r>
                          </w:p>
                          <w:p w14:paraId="0FBC0D1C" w14:textId="078783AD" w:rsidR="009950A9" w:rsidRDefault="009950A9" w:rsidP="00F616B9">
                            <w:pPr>
                              <w:ind w:left="851"/>
                              <w:jc w:val="both"/>
                              <w:rPr>
                                <w:spacing w:val="-3"/>
                              </w:rPr>
                            </w:pPr>
                            <w:r>
                              <w:t xml:space="preserve">Enfin, s’agissant des autres produits illicites, </w:t>
                            </w:r>
                            <w:r w:rsidR="00893D49">
                              <w:t>les niveaux d’expérimentation</w:t>
                            </w:r>
                            <w:r>
                              <w:t xml:space="preserve"> sont semblables à ceux du reste de la </w:t>
                            </w:r>
                            <w:r w:rsidR="00893D49">
                              <w:t>France, tant chez les adultes de la région que des jeunes de 17 ans</w:t>
                            </w:r>
                            <w:r>
                              <w:t xml:space="preserve">. </w:t>
                            </w:r>
                            <w:r w:rsidR="00893D49">
                              <w:rPr>
                                <w:spacing w:val="-3"/>
                              </w:rPr>
                              <w:t>Les habitants de la</w:t>
                            </w:r>
                            <w:r>
                              <w:rPr>
                                <w:spacing w:val="-3"/>
                              </w:rPr>
                              <w:t xml:space="preserve"> région </w:t>
                            </w:r>
                            <w:r w:rsidR="00893D49">
                              <w:t>Auvergne-Rhône-Alpes présentent une sous-mortalité</w:t>
                            </w:r>
                            <w:r w:rsidRPr="0085614A">
                              <w:rPr>
                                <w:spacing w:val="-3"/>
                              </w:rPr>
                              <w:t xml:space="preserve"> </w:t>
                            </w:r>
                            <w:r w:rsidR="00B42D66">
                              <w:rPr>
                                <w:spacing w:val="-3"/>
                              </w:rPr>
                              <w:t xml:space="preserve">due aux accidents de la route ou aux surdoses liés </w:t>
                            </w:r>
                            <w:r w:rsidRPr="0085614A">
                              <w:rPr>
                                <w:spacing w:val="-3"/>
                              </w:rPr>
                              <w:t>aux drogues</w:t>
                            </w:r>
                            <w:r>
                              <w:rPr>
                                <w:spacing w:val="-3"/>
                              </w:rPr>
                              <w:t xml:space="preserve"> illicites</w:t>
                            </w:r>
                            <w:r w:rsidR="00B42D66">
                              <w:rPr>
                                <w:spacing w:val="-3"/>
                              </w:rPr>
                              <w:t>.</w:t>
                            </w:r>
                          </w:p>
                          <w:p w14:paraId="3C4F944F" w14:textId="77777777" w:rsidR="009950A9" w:rsidRDefault="00995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3F3D" id="Zone de texte 2" o:spid="_x0000_s1027" type="#_x0000_t202" style="position:absolute;margin-left:1.15pt;margin-top:77.7pt;width:469.95pt;height:416.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" filled="f" stroked="f">
                <v:textbox>
                  <w:txbxContent>
                    <w:p w14:paraId="72DE0395" w14:textId="76F0A899" w:rsidR="009950A9" w:rsidRPr="00AA164D" w:rsidRDefault="00E715CC" w:rsidP="00F616B9">
                      <w:pPr>
                        <w:ind w:left="851"/>
                        <w:jc w:val="both"/>
                      </w:pPr>
                      <w:r>
                        <w:t>L</w:t>
                      </w:r>
                      <w:r w:rsidR="009950A9" w:rsidRPr="00AA164D">
                        <w:t>a population adulte</w:t>
                      </w:r>
                      <w:r w:rsidR="009950A9">
                        <w:t xml:space="preserve"> </w:t>
                      </w:r>
                      <w:r w:rsidR="001B60C8">
                        <w:t>d’</w:t>
                      </w:r>
                      <w:r>
                        <w:t xml:space="preserve">Auvergne-Rhône-Alpes </w:t>
                      </w:r>
                      <w:r w:rsidR="009950A9">
                        <w:t>présente des niveaux d’usage</w:t>
                      </w:r>
                      <w:r>
                        <w:t xml:space="preserve"> de tabac</w:t>
                      </w:r>
                      <w:r w:rsidR="009950A9">
                        <w:t xml:space="preserve"> quasi-identiques aux moyennes nationales</w:t>
                      </w:r>
                      <w:r w:rsidR="007B7CFB">
                        <w:t>, excepté pour l’usage intensif en retrait dans la région</w:t>
                      </w:r>
                      <w:r w:rsidR="009950A9">
                        <w:t>.</w:t>
                      </w:r>
                      <w:r w:rsidR="009950A9" w:rsidRPr="00AA164D">
                        <w:t xml:space="preserve"> </w:t>
                      </w:r>
                      <w:r w:rsidR="009950A9">
                        <w:t xml:space="preserve">En revanche, les jeunes </w:t>
                      </w:r>
                      <w:r w:rsidR="00F87F70">
                        <w:t xml:space="preserve">de 17 ans </w:t>
                      </w:r>
                      <w:r w:rsidR="009950A9">
                        <w:t xml:space="preserve">de la région se caractérisent par des niveaux d’expérimentation (63 % </w:t>
                      </w:r>
                      <w:r w:rsidR="009950A9" w:rsidRPr="00664412">
                        <w:rPr>
                          <w:i/>
                        </w:rPr>
                        <w:t>vs</w:t>
                      </w:r>
                      <w:r w:rsidR="009950A9">
                        <w:t xml:space="preserve"> 59 %) et </w:t>
                      </w:r>
                      <w:r w:rsidR="00F675BF">
                        <w:t xml:space="preserve">d’usage </w:t>
                      </w:r>
                      <w:r w:rsidR="009950A9">
                        <w:t xml:space="preserve">quotidien (27 % </w:t>
                      </w:r>
                      <w:r w:rsidR="009950A9" w:rsidRPr="00664412">
                        <w:rPr>
                          <w:i/>
                        </w:rPr>
                        <w:t>vs</w:t>
                      </w:r>
                      <w:r w:rsidR="009950A9">
                        <w:t xml:space="preserve"> 25 %) supérieurs à ceux observés en </w:t>
                      </w:r>
                      <w:r w:rsidR="001B60C8">
                        <w:t>France métropolitaine</w:t>
                      </w:r>
                      <w:r w:rsidR="009950A9">
                        <w:t>.</w:t>
                      </w:r>
                      <w:r>
                        <w:t xml:space="preserve"> Malgré ce contexte de consommation</w:t>
                      </w:r>
                      <w:r w:rsidRPr="00AA164D">
                        <w:t xml:space="preserve">, la mortalité liée aux cancers des voies pulmonaires </w:t>
                      </w:r>
                      <w:r>
                        <w:t xml:space="preserve">est en deçà </w:t>
                      </w:r>
                      <w:r w:rsidRPr="00AA164D">
                        <w:t>de la moyenne nationale.</w:t>
                      </w:r>
                    </w:p>
                    <w:p w14:paraId="4A3C64BD" w14:textId="14F925C8" w:rsidR="009950A9" w:rsidRDefault="009950A9" w:rsidP="00AF147D">
                      <w:pPr>
                        <w:ind w:left="851"/>
                        <w:jc w:val="both"/>
                      </w:pPr>
                      <w:r>
                        <w:t>Un profil similaire apparaît concernant l’alcool : pas de différence par rapport à la moyenne nationale chez les adultes et une surconsommation des jeunes de 17 ans, tant pour l’expérimentation (87 %</w:t>
                      </w:r>
                      <w:r w:rsidR="001B60C8">
                        <w:t xml:space="preserve"> </w:t>
                      </w:r>
                      <w:r w:rsidRPr="00664412">
                        <w:rPr>
                          <w:i/>
                        </w:rPr>
                        <w:t>vs</w:t>
                      </w:r>
                      <w:r>
                        <w:t xml:space="preserve"> 86 %) que l’usage au cours du mois (70 % </w:t>
                      </w:r>
                      <w:r w:rsidRPr="00664412">
                        <w:rPr>
                          <w:i/>
                        </w:rPr>
                        <w:t>vs</w:t>
                      </w:r>
                      <w:r>
                        <w:t xml:space="preserve"> 66 %) ou </w:t>
                      </w:r>
                      <w:r w:rsidR="00F675BF">
                        <w:t xml:space="preserve">l’usage </w:t>
                      </w:r>
                      <w:r>
                        <w:t xml:space="preserve">régulier (10 % </w:t>
                      </w:r>
                      <w:r w:rsidRPr="00664412">
                        <w:rPr>
                          <w:i/>
                        </w:rPr>
                        <w:t>vs</w:t>
                      </w:r>
                      <w:r>
                        <w:t xml:space="preserve"> 8 %). En termes de conséquences des usages, la région Auvergne-Rhône-Alpes affiche un niveau de mortalité prématurée liée à l’alcool</w:t>
                      </w:r>
                      <w:r w:rsidRPr="00F85A10">
                        <w:t xml:space="preserve"> </w:t>
                      </w:r>
                      <w:r>
                        <w:t xml:space="preserve">(alcoolisme et cirrhose) inférieur à la moyenne nationale. Si le taux d’interpellation pour ivresses sur la voie publique est sensiblement inférieur, les accidents corporels ou mortels dus à l’alcool présentent quant </w:t>
                      </w:r>
                      <w:r w:rsidR="00F675BF">
                        <w:t xml:space="preserve">à </w:t>
                      </w:r>
                      <w:r>
                        <w:t>eux des niveaux supérieurs.</w:t>
                      </w:r>
                    </w:p>
                    <w:p w14:paraId="09F17903" w14:textId="74D335BF" w:rsidR="009950A9" w:rsidRDefault="009950A9" w:rsidP="00F616B9">
                      <w:pPr>
                        <w:ind w:left="851"/>
                        <w:jc w:val="both"/>
                        <w:rPr>
                          <w:spacing w:val="-3"/>
                        </w:rPr>
                      </w:pPr>
                      <w:r>
                        <w:t>Concernant le cannabis, les usages en population adulte ne se distinguent pas non plus de la moyenne nationale, alors que, là encore, les niveaux parmi les 17 ans s’avèrent plus élevés</w:t>
                      </w:r>
                      <w:r w:rsidR="007D4531">
                        <w:t>,</w:t>
                      </w:r>
                      <w:r>
                        <w:t xml:space="preserve"> quel que soit l’indicateur considéré : expérimentation (42</w:t>
                      </w:r>
                      <w:r w:rsidR="007D4531">
                        <w:t> %</w:t>
                      </w:r>
                      <w:r w:rsidRPr="00664412">
                        <w:rPr>
                          <w:i/>
                        </w:rPr>
                        <w:t xml:space="preserve"> vs</w:t>
                      </w:r>
                      <w:r>
                        <w:t xml:space="preserve"> 39</w:t>
                      </w:r>
                      <w:r w:rsidR="007D4531">
                        <w:t> %</w:t>
                      </w:r>
                      <w:r>
                        <w:t>), usage au cours du mois (23</w:t>
                      </w:r>
                      <w:r w:rsidR="007D4531">
                        <w:t> %</w:t>
                      </w:r>
                      <w:r>
                        <w:t xml:space="preserve"> </w:t>
                      </w:r>
                      <w:r w:rsidRPr="00664412">
                        <w:rPr>
                          <w:i/>
                        </w:rPr>
                        <w:t>vs</w:t>
                      </w:r>
                      <w:r>
                        <w:t xml:space="preserve"> 21</w:t>
                      </w:r>
                      <w:r w:rsidR="007D4531">
                        <w:t> %</w:t>
                      </w:r>
                      <w:r>
                        <w:t xml:space="preserve">) ou </w:t>
                      </w:r>
                      <w:r w:rsidR="00F675BF">
                        <w:t xml:space="preserve">usage </w:t>
                      </w:r>
                      <w:r>
                        <w:t>régulier (8</w:t>
                      </w:r>
                      <w:r w:rsidR="007D4531">
                        <w:t> %</w:t>
                      </w:r>
                      <w:r w:rsidRPr="00664412">
                        <w:rPr>
                          <w:i/>
                        </w:rPr>
                        <w:t xml:space="preserve"> vs</w:t>
                      </w:r>
                      <w:r>
                        <w:t xml:space="preserve"> 7</w:t>
                      </w:r>
                      <w:r w:rsidR="007D4531">
                        <w:t> %</w:t>
                      </w:r>
                      <w:r>
                        <w:t xml:space="preserve">). </w:t>
                      </w:r>
                      <w:r w:rsidR="00893D49">
                        <w:t>Malgré ces prévalences plus élevées,</w:t>
                      </w:r>
                      <w:r>
                        <w:t xml:space="preserve"> le nombre d’interpellations </w:t>
                      </w:r>
                      <w:r w:rsidRPr="00EA0CBA">
                        <w:rPr>
                          <w:spacing w:val="-3"/>
                        </w:rPr>
                        <w:t>pour infractions à la législ</w:t>
                      </w:r>
                      <w:r>
                        <w:rPr>
                          <w:spacing w:val="-3"/>
                        </w:rPr>
                        <w:t xml:space="preserve">ation sur les stupéfiants (ILS), concernant principalement le cannabis, </w:t>
                      </w:r>
                      <w:r w:rsidR="00893D49">
                        <w:rPr>
                          <w:spacing w:val="-3"/>
                        </w:rPr>
                        <w:t>demeure</w:t>
                      </w:r>
                      <w:r w:rsidRPr="00EA0CBA">
                        <w:rPr>
                          <w:spacing w:val="-3"/>
                        </w:rPr>
                        <w:t xml:space="preserve"> à un niveau </w:t>
                      </w:r>
                      <w:r w:rsidR="00893D49">
                        <w:rPr>
                          <w:spacing w:val="-3"/>
                        </w:rPr>
                        <w:t>infé</w:t>
                      </w:r>
                      <w:r>
                        <w:rPr>
                          <w:spacing w:val="-3"/>
                        </w:rPr>
                        <w:t xml:space="preserve">rieur à celui </w:t>
                      </w:r>
                      <w:r w:rsidR="00893D49">
                        <w:rPr>
                          <w:spacing w:val="-3"/>
                        </w:rPr>
                        <w:t xml:space="preserve">observé </w:t>
                      </w:r>
                      <w:r w:rsidR="001B60C8">
                        <w:rPr>
                          <w:spacing w:val="-3"/>
                        </w:rPr>
                        <w:t>ailleurs en</w:t>
                      </w:r>
                      <w:r w:rsidR="00664412">
                        <w:rPr>
                          <w:spacing w:val="-3"/>
                        </w:rPr>
                        <w:t xml:space="preserve"> </w:t>
                      </w:r>
                      <w:r>
                        <w:rPr>
                          <w:spacing w:val="-3"/>
                        </w:rPr>
                        <w:t>France.</w:t>
                      </w:r>
                    </w:p>
                    <w:p w14:paraId="0FBC0D1C" w14:textId="078783AD" w:rsidR="009950A9" w:rsidRDefault="009950A9" w:rsidP="00F616B9">
                      <w:pPr>
                        <w:ind w:left="851"/>
                        <w:jc w:val="both"/>
                        <w:rPr>
                          <w:spacing w:val="-3"/>
                        </w:rPr>
                      </w:pPr>
                      <w:r>
                        <w:t xml:space="preserve">Enfin, s’agissant des autres produits illicites, </w:t>
                      </w:r>
                      <w:r w:rsidR="00893D49">
                        <w:t>les niveaux d’expérimentation</w:t>
                      </w:r>
                      <w:r>
                        <w:t xml:space="preserve"> sont semblables à ceux du reste de la </w:t>
                      </w:r>
                      <w:r w:rsidR="00893D49">
                        <w:t>France, tant chez les adultes de la région que des jeunes de 17 ans</w:t>
                      </w:r>
                      <w:r>
                        <w:t xml:space="preserve">. </w:t>
                      </w:r>
                      <w:r w:rsidR="00893D49">
                        <w:rPr>
                          <w:spacing w:val="-3"/>
                        </w:rPr>
                        <w:t>Les habitants de la</w:t>
                      </w:r>
                      <w:r>
                        <w:rPr>
                          <w:spacing w:val="-3"/>
                        </w:rPr>
                        <w:t xml:space="preserve"> région </w:t>
                      </w:r>
                      <w:r w:rsidR="00893D49">
                        <w:t>Auvergne-Rhône-Alpes présentent une sous-mortalité</w:t>
                      </w:r>
                      <w:r w:rsidRPr="0085614A">
                        <w:rPr>
                          <w:spacing w:val="-3"/>
                        </w:rPr>
                        <w:t xml:space="preserve"> </w:t>
                      </w:r>
                      <w:r w:rsidR="00B42D66">
                        <w:rPr>
                          <w:spacing w:val="-3"/>
                        </w:rPr>
                        <w:t xml:space="preserve">due aux accidents de la route ou aux surdoses liés </w:t>
                      </w:r>
                      <w:r w:rsidRPr="0085614A">
                        <w:rPr>
                          <w:spacing w:val="-3"/>
                        </w:rPr>
                        <w:t>aux drogues</w:t>
                      </w:r>
                      <w:r>
                        <w:rPr>
                          <w:spacing w:val="-3"/>
                        </w:rPr>
                        <w:t xml:space="preserve"> illicites</w:t>
                      </w:r>
                      <w:r w:rsidR="00B42D66">
                        <w:rPr>
                          <w:spacing w:val="-3"/>
                        </w:rPr>
                        <w:t>.</w:t>
                      </w:r>
                    </w:p>
                    <w:p w14:paraId="3C4F944F" w14:textId="77777777" w:rsidR="009950A9" w:rsidRDefault="009950A9"/>
                  </w:txbxContent>
                </v:textbox>
                <w10:wrap type="square" anchorx="margin"/>
              </v:shape>
            </w:pict>
          </mc:Fallback>
        </mc:AlternateContent>
      </w:r>
      <w:r w:rsidR="00F21E1B">
        <w:br w:type="page"/>
      </w:r>
      <w:r w:rsidR="00AB57B2" w:rsidRPr="00A724E9">
        <w:lastRenderedPageBreak/>
        <w:t xml:space="preserve">Usages de produits psychoactifs à l’âge adulte </w:t>
      </w:r>
      <w:r w:rsidR="00AB57B2" w:rsidRPr="00AB57B2">
        <w:rPr>
          <w:sz w:val="18"/>
          <w:szCs w:val="18"/>
        </w:rPr>
        <w:t>(18-75 ans pour l’alcool et le tabac, 18-64 ans pour les autres produits)</w:t>
      </w:r>
      <w:r w:rsidR="00AB57B2" w:rsidRPr="00A724E9">
        <w:t xml:space="preserve"> en 2017 dans la région </w:t>
      </w:r>
      <w:r w:rsidR="00720CB2">
        <w:t>Auvergne-Rhône-Alpes</w:t>
      </w:r>
      <w:r w:rsidR="00AB57B2" w:rsidRPr="00A724E9">
        <w:t xml:space="preserve"> et en France métropolitaine (%)</w:t>
      </w:r>
    </w:p>
    <w:tbl>
      <w:tblPr>
        <w:tblW w:w="5000" w:type="pct"/>
        <w:tblCellMar>
          <w:left w:w="70" w:type="dxa"/>
          <w:right w:w="70" w:type="dxa"/>
        </w:tblCellMar>
        <w:tblLook w:val="04A0" w:firstRow="1" w:lastRow="0" w:firstColumn="1" w:lastColumn="0" w:noHBand="0" w:noVBand="1"/>
      </w:tblPr>
      <w:tblGrid>
        <w:gridCol w:w="2149"/>
        <w:gridCol w:w="3205"/>
        <w:gridCol w:w="693"/>
        <w:gridCol w:w="693"/>
        <w:gridCol w:w="693"/>
        <w:gridCol w:w="769"/>
        <w:gridCol w:w="769"/>
        <w:gridCol w:w="765"/>
      </w:tblGrid>
      <w:tr w:rsidR="00AB57B2" w:rsidRPr="00450AA9" w14:paraId="281615D5" w14:textId="77777777" w:rsidTr="00A2509F">
        <w:trPr>
          <w:trHeight w:val="300"/>
        </w:trPr>
        <w:tc>
          <w:tcPr>
            <w:tcW w:w="2749" w:type="pct"/>
            <w:gridSpan w:val="2"/>
            <w:vMerge w:val="restart"/>
            <w:tcBorders>
              <w:top w:val="single" w:sz="4" w:space="0" w:color="auto"/>
              <w:left w:val="single" w:sz="4" w:space="0" w:color="auto"/>
              <w:bottom w:val="single" w:sz="4" w:space="0" w:color="000000"/>
              <w:right w:val="single" w:sz="4" w:space="0" w:color="000000"/>
            </w:tcBorders>
            <w:shd w:val="clear" w:color="auto" w:fill="D5D5CB"/>
            <w:noWrap/>
            <w:vAlign w:val="center"/>
            <w:hideMark/>
          </w:tcPr>
          <w:p w14:paraId="2D33D806" w14:textId="77777777" w:rsidR="00AB57B2" w:rsidRPr="00450AA9" w:rsidRDefault="00AB57B2" w:rsidP="00720CB2">
            <w:pPr>
              <w:spacing w:after="0" w:line="240" w:lineRule="auto"/>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 </w:t>
            </w:r>
          </w:p>
        </w:tc>
        <w:tc>
          <w:tcPr>
            <w:tcW w:w="1068" w:type="pct"/>
            <w:gridSpan w:val="3"/>
            <w:tcBorders>
              <w:top w:val="single" w:sz="4" w:space="0" w:color="auto"/>
              <w:left w:val="nil"/>
              <w:bottom w:val="single" w:sz="4" w:space="0" w:color="auto"/>
              <w:right w:val="single" w:sz="4" w:space="0" w:color="auto"/>
            </w:tcBorders>
            <w:shd w:val="clear" w:color="auto" w:fill="D5D5CB"/>
            <w:vAlign w:val="center"/>
            <w:hideMark/>
          </w:tcPr>
          <w:p w14:paraId="38F3187A" w14:textId="77777777" w:rsidR="00AB57B2" w:rsidRPr="00533B1C" w:rsidRDefault="00AB57B2"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Région </w:t>
            </w:r>
            <w:r w:rsidR="00720CB2">
              <w:rPr>
                <w:rFonts w:ascii="Calibri" w:eastAsia="Times New Roman" w:hAnsi="Calibri" w:cs="Times New Roman"/>
                <w:b/>
                <w:bCs/>
                <w:color w:val="000000"/>
                <w:sz w:val="20"/>
                <w:szCs w:val="20"/>
                <w:lang w:eastAsia="fr-FR"/>
              </w:rPr>
              <w:t>ARA</w:t>
            </w:r>
          </w:p>
        </w:tc>
        <w:tc>
          <w:tcPr>
            <w:tcW w:w="1184" w:type="pct"/>
            <w:gridSpan w:val="3"/>
            <w:tcBorders>
              <w:top w:val="single" w:sz="4" w:space="0" w:color="auto"/>
              <w:left w:val="nil"/>
              <w:bottom w:val="single" w:sz="4" w:space="0" w:color="auto"/>
              <w:right w:val="single" w:sz="4" w:space="0" w:color="auto"/>
            </w:tcBorders>
            <w:shd w:val="clear" w:color="auto" w:fill="D5D5CB"/>
            <w:vAlign w:val="center"/>
            <w:hideMark/>
          </w:tcPr>
          <w:p w14:paraId="60FEBFEF" w14:textId="77777777" w:rsidR="00AB57B2" w:rsidRPr="00533B1C" w:rsidRDefault="00AB57B2"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France métropolitaine </w:t>
            </w:r>
          </w:p>
        </w:tc>
      </w:tr>
      <w:tr w:rsidR="00AB57B2" w:rsidRPr="00450AA9" w14:paraId="0C7DCA86" w14:textId="77777777" w:rsidTr="00A2509F">
        <w:trPr>
          <w:trHeight w:val="540"/>
        </w:trPr>
        <w:tc>
          <w:tcPr>
            <w:tcW w:w="2749" w:type="pct"/>
            <w:gridSpan w:val="2"/>
            <w:vMerge/>
            <w:tcBorders>
              <w:top w:val="single" w:sz="4" w:space="0" w:color="auto"/>
              <w:left w:val="single" w:sz="4" w:space="0" w:color="auto"/>
              <w:bottom w:val="single" w:sz="4" w:space="0" w:color="000000"/>
              <w:right w:val="single" w:sz="4" w:space="0" w:color="000000"/>
            </w:tcBorders>
            <w:shd w:val="clear" w:color="auto" w:fill="D5D5CB"/>
            <w:vAlign w:val="center"/>
            <w:hideMark/>
          </w:tcPr>
          <w:p w14:paraId="72505655" w14:textId="77777777" w:rsidR="00AB57B2" w:rsidRPr="00450AA9" w:rsidRDefault="00AB57B2" w:rsidP="00720CB2">
            <w:pPr>
              <w:spacing w:after="0" w:line="240" w:lineRule="auto"/>
              <w:rPr>
                <w:rFonts w:ascii="Calibri" w:eastAsia="Times New Roman" w:hAnsi="Calibri" w:cs="Times New Roman"/>
                <w:b/>
                <w:bCs/>
                <w:color w:val="000000"/>
                <w:sz w:val="14"/>
                <w:szCs w:val="14"/>
                <w:lang w:eastAsia="fr-FR"/>
              </w:rPr>
            </w:pPr>
          </w:p>
        </w:tc>
        <w:tc>
          <w:tcPr>
            <w:tcW w:w="356" w:type="pct"/>
            <w:tcBorders>
              <w:top w:val="nil"/>
              <w:left w:val="nil"/>
              <w:bottom w:val="single" w:sz="4" w:space="0" w:color="auto"/>
              <w:right w:val="single" w:sz="4" w:space="0" w:color="auto"/>
            </w:tcBorders>
            <w:shd w:val="clear" w:color="auto" w:fill="D5D5CB"/>
            <w:vAlign w:val="center"/>
            <w:hideMark/>
          </w:tcPr>
          <w:p w14:paraId="0F0CDF70" w14:textId="617A2645"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1556</w:t>
            </w:r>
            <w:r w:rsidRPr="00450AA9">
              <w:rPr>
                <w:rFonts w:ascii="Calibri" w:eastAsia="Times New Roman" w:hAnsi="Calibri" w:cs="Times New Roman"/>
                <w:b/>
                <w:bCs/>
                <w:color w:val="000000"/>
                <w:sz w:val="14"/>
                <w:szCs w:val="14"/>
                <w:lang w:eastAsia="fr-FR"/>
              </w:rPr>
              <w:t>)</w:t>
            </w:r>
          </w:p>
        </w:tc>
        <w:tc>
          <w:tcPr>
            <w:tcW w:w="356" w:type="pct"/>
            <w:tcBorders>
              <w:top w:val="nil"/>
              <w:left w:val="nil"/>
              <w:bottom w:val="single" w:sz="4" w:space="0" w:color="auto"/>
              <w:right w:val="single" w:sz="4" w:space="0" w:color="auto"/>
            </w:tcBorders>
            <w:shd w:val="clear" w:color="auto" w:fill="D5D5CB"/>
            <w:vAlign w:val="center"/>
            <w:hideMark/>
          </w:tcPr>
          <w:p w14:paraId="7BE4762B" w14:textId="63AE6653"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1773</w:t>
            </w:r>
            <w:r w:rsidRPr="00450AA9">
              <w:rPr>
                <w:rFonts w:ascii="Calibri" w:eastAsia="Times New Roman" w:hAnsi="Calibri" w:cs="Times New Roman"/>
                <w:b/>
                <w:bCs/>
                <w:color w:val="000000"/>
                <w:sz w:val="14"/>
                <w:szCs w:val="14"/>
                <w:lang w:eastAsia="fr-FR"/>
              </w:rPr>
              <w:t>)</w:t>
            </w:r>
          </w:p>
        </w:tc>
        <w:tc>
          <w:tcPr>
            <w:tcW w:w="356" w:type="pct"/>
            <w:tcBorders>
              <w:top w:val="nil"/>
              <w:left w:val="nil"/>
              <w:bottom w:val="single" w:sz="4" w:space="0" w:color="auto"/>
              <w:right w:val="single" w:sz="4" w:space="0" w:color="auto"/>
            </w:tcBorders>
            <w:shd w:val="clear" w:color="auto" w:fill="D5D5CB"/>
            <w:vAlign w:val="center"/>
            <w:hideMark/>
          </w:tcPr>
          <w:p w14:paraId="06964F74" w14:textId="2CEB408F"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3329</w:t>
            </w:r>
            <w:r w:rsidRPr="00450AA9">
              <w:rPr>
                <w:rFonts w:ascii="Calibri" w:eastAsia="Times New Roman" w:hAnsi="Calibri" w:cs="Times New Roman"/>
                <w:b/>
                <w:bCs/>
                <w:color w:val="000000"/>
                <w:sz w:val="14"/>
                <w:szCs w:val="14"/>
                <w:lang w:eastAsia="fr-FR"/>
              </w:rPr>
              <w:t>)</w:t>
            </w:r>
          </w:p>
        </w:tc>
        <w:tc>
          <w:tcPr>
            <w:tcW w:w="395" w:type="pct"/>
            <w:tcBorders>
              <w:top w:val="nil"/>
              <w:left w:val="nil"/>
              <w:bottom w:val="single" w:sz="4" w:space="0" w:color="auto"/>
              <w:right w:val="single" w:sz="4" w:space="0" w:color="auto"/>
            </w:tcBorders>
            <w:shd w:val="clear" w:color="auto" w:fill="D5D5CB"/>
            <w:vAlign w:val="center"/>
            <w:hideMark/>
          </w:tcPr>
          <w:p w14:paraId="4F72C41F" w14:textId="77777777"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(n=11596)</w:t>
            </w:r>
          </w:p>
        </w:tc>
        <w:tc>
          <w:tcPr>
            <w:tcW w:w="395" w:type="pct"/>
            <w:tcBorders>
              <w:top w:val="nil"/>
              <w:left w:val="nil"/>
              <w:bottom w:val="single" w:sz="4" w:space="0" w:color="auto"/>
              <w:right w:val="single" w:sz="4" w:space="0" w:color="auto"/>
            </w:tcBorders>
            <w:shd w:val="clear" w:color="auto" w:fill="D5D5CB"/>
            <w:vAlign w:val="center"/>
            <w:hideMark/>
          </w:tcPr>
          <w:p w14:paraId="00DAAED6" w14:textId="77777777"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(n=13723)</w:t>
            </w:r>
          </w:p>
        </w:tc>
        <w:tc>
          <w:tcPr>
            <w:tcW w:w="394" w:type="pct"/>
            <w:tcBorders>
              <w:top w:val="nil"/>
              <w:left w:val="nil"/>
              <w:bottom w:val="single" w:sz="4" w:space="0" w:color="auto"/>
              <w:right w:val="single" w:sz="4" w:space="0" w:color="auto"/>
            </w:tcBorders>
            <w:shd w:val="clear" w:color="auto" w:fill="D5D5CB"/>
            <w:vAlign w:val="center"/>
            <w:hideMark/>
          </w:tcPr>
          <w:p w14:paraId="6071E57D" w14:textId="77777777"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(n=25319)</w:t>
            </w:r>
          </w:p>
        </w:tc>
      </w:tr>
      <w:tr w:rsidR="00720CB2" w:rsidRPr="00450AA9" w14:paraId="75740017" w14:textId="77777777" w:rsidTr="00A2509F">
        <w:trPr>
          <w:trHeight w:val="300"/>
        </w:trPr>
        <w:tc>
          <w:tcPr>
            <w:tcW w:w="11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CF3B0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w:t>
            </w:r>
          </w:p>
        </w:tc>
        <w:tc>
          <w:tcPr>
            <w:tcW w:w="1646" w:type="pct"/>
            <w:tcBorders>
              <w:top w:val="nil"/>
              <w:left w:val="nil"/>
              <w:bottom w:val="single" w:sz="4" w:space="0" w:color="auto"/>
              <w:right w:val="single" w:sz="4" w:space="0" w:color="auto"/>
            </w:tcBorders>
            <w:shd w:val="clear" w:color="auto" w:fill="auto"/>
            <w:noWrap/>
            <w:vAlign w:val="center"/>
            <w:hideMark/>
          </w:tcPr>
          <w:p w14:paraId="3917D51B"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vAlign w:val="center"/>
            <w:hideMark/>
          </w:tcPr>
          <w:p w14:paraId="62573FA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96</w:t>
            </w:r>
          </w:p>
        </w:tc>
        <w:tc>
          <w:tcPr>
            <w:tcW w:w="356" w:type="pct"/>
            <w:tcBorders>
              <w:top w:val="nil"/>
              <w:left w:val="nil"/>
              <w:bottom w:val="single" w:sz="4" w:space="0" w:color="auto"/>
              <w:right w:val="single" w:sz="4" w:space="0" w:color="auto"/>
            </w:tcBorders>
            <w:shd w:val="clear" w:color="auto" w:fill="auto"/>
            <w:vAlign w:val="center"/>
            <w:hideMark/>
          </w:tcPr>
          <w:p w14:paraId="4832CC0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92</w:t>
            </w:r>
          </w:p>
        </w:tc>
        <w:tc>
          <w:tcPr>
            <w:tcW w:w="356" w:type="pct"/>
            <w:tcBorders>
              <w:top w:val="nil"/>
              <w:left w:val="nil"/>
              <w:bottom w:val="single" w:sz="4" w:space="0" w:color="auto"/>
              <w:right w:val="single" w:sz="4" w:space="0" w:color="auto"/>
            </w:tcBorders>
            <w:shd w:val="clear" w:color="auto" w:fill="auto"/>
            <w:vAlign w:val="center"/>
            <w:hideMark/>
          </w:tcPr>
          <w:p w14:paraId="5FC91B60"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94</w:t>
            </w:r>
          </w:p>
        </w:tc>
        <w:tc>
          <w:tcPr>
            <w:tcW w:w="395" w:type="pct"/>
            <w:tcBorders>
              <w:top w:val="nil"/>
              <w:left w:val="nil"/>
              <w:bottom w:val="single" w:sz="4" w:space="0" w:color="auto"/>
              <w:right w:val="single" w:sz="4" w:space="0" w:color="auto"/>
            </w:tcBorders>
            <w:shd w:val="clear" w:color="auto" w:fill="auto"/>
            <w:vAlign w:val="center"/>
            <w:hideMark/>
          </w:tcPr>
          <w:p w14:paraId="412C29F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96,1</w:t>
            </w:r>
          </w:p>
        </w:tc>
        <w:tc>
          <w:tcPr>
            <w:tcW w:w="395" w:type="pct"/>
            <w:tcBorders>
              <w:top w:val="nil"/>
              <w:left w:val="nil"/>
              <w:bottom w:val="single" w:sz="4" w:space="0" w:color="auto"/>
              <w:right w:val="single" w:sz="4" w:space="0" w:color="auto"/>
            </w:tcBorders>
            <w:shd w:val="clear" w:color="auto" w:fill="auto"/>
            <w:vAlign w:val="center"/>
            <w:hideMark/>
          </w:tcPr>
          <w:p w14:paraId="565388E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93,1</w:t>
            </w:r>
          </w:p>
        </w:tc>
        <w:tc>
          <w:tcPr>
            <w:tcW w:w="394" w:type="pct"/>
            <w:tcBorders>
              <w:top w:val="nil"/>
              <w:left w:val="nil"/>
              <w:bottom w:val="single" w:sz="4" w:space="0" w:color="auto"/>
              <w:right w:val="single" w:sz="4" w:space="0" w:color="auto"/>
            </w:tcBorders>
            <w:shd w:val="clear" w:color="auto" w:fill="auto"/>
            <w:vAlign w:val="center"/>
            <w:hideMark/>
          </w:tcPr>
          <w:p w14:paraId="5DB7F662"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94,6</w:t>
            </w:r>
          </w:p>
        </w:tc>
      </w:tr>
      <w:tr w:rsidR="00720CB2" w:rsidRPr="00450AA9" w14:paraId="719C5313" w14:textId="77777777" w:rsidTr="00A2509F">
        <w:trPr>
          <w:trHeight w:val="300"/>
        </w:trPr>
        <w:tc>
          <w:tcPr>
            <w:tcW w:w="1103" w:type="pct"/>
            <w:vMerge/>
            <w:tcBorders>
              <w:top w:val="nil"/>
              <w:left w:val="single" w:sz="4" w:space="0" w:color="auto"/>
              <w:bottom w:val="single" w:sz="4" w:space="0" w:color="auto"/>
              <w:right w:val="single" w:sz="4" w:space="0" w:color="auto"/>
            </w:tcBorders>
            <w:vAlign w:val="center"/>
            <w:hideMark/>
          </w:tcPr>
          <w:p w14:paraId="7E34612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3A80C7B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 10 usages dans le mois)</w:t>
            </w:r>
          </w:p>
        </w:tc>
        <w:tc>
          <w:tcPr>
            <w:tcW w:w="356" w:type="pct"/>
            <w:tcBorders>
              <w:top w:val="nil"/>
              <w:left w:val="nil"/>
              <w:bottom w:val="single" w:sz="4" w:space="0" w:color="auto"/>
              <w:right w:val="single" w:sz="4" w:space="0" w:color="auto"/>
            </w:tcBorders>
            <w:shd w:val="clear" w:color="auto" w:fill="auto"/>
            <w:vAlign w:val="center"/>
            <w:hideMark/>
          </w:tcPr>
          <w:p w14:paraId="7979FB7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28</w:t>
            </w:r>
          </w:p>
        </w:tc>
        <w:tc>
          <w:tcPr>
            <w:tcW w:w="356" w:type="pct"/>
            <w:tcBorders>
              <w:top w:val="nil"/>
              <w:left w:val="nil"/>
              <w:bottom w:val="single" w:sz="4" w:space="0" w:color="auto"/>
              <w:right w:val="single" w:sz="4" w:space="0" w:color="auto"/>
            </w:tcBorders>
            <w:shd w:val="clear" w:color="auto" w:fill="auto"/>
            <w:vAlign w:val="center"/>
            <w:hideMark/>
          </w:tcPr>
          <w:p w14:paraId="57B0CB1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10</w:t>
            </w:r>
          </w:p>
        </w:tc>
        <w:tc>
          <w:tcPr>
            <w:tcW w:w="356" w:type="pct"/>
            <w:tcBorders>
              <w:top w:val="nil"/>
              <w:left w:val="nil"/>
              <w:bottom w:val="single" w:sz="4" w:space="0" w:color="auto"/>
              <w:right w:val="single" w:sz="4" w:space="0" w:color="auto"/>
            </w:tcBorders>
            <w:shd w:val="clear" w:color="auto" w:fill="auto"/>
            <w:vAlign w:val="center"/>
            <w:hideMark/>
          </w:tcPr>
          <w:p w14:paraId="346CEB1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19</w:t>
            </w:r>
          </w:p>
        </w:tc>
        <w:tc>
          <w:tcPr>
            <w:tcW w:w="395" w:type="pct"/>
            <w:tcBorders>
              <w:top w:val="nil"/>
              <w:left w:val="nil"/>
              <w:bottom w:val="single" w:sz="4" w:space="0" w:color="auto"/>
              <w:right w:val="single" w:sz="4" w:space="0" w:color="auto"/>
            </w:tcBorders>
            <w:shd w:val="clear" w:color="auto" w:fill="auto"/>
            <w:vAlign w:val="center"/>
            <w:hideMark/>
          </w:tcPr>
          <w:p w14:paraId="51834C6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28,4</w:t>
            </w:r>
          </w:p>
        </w:tc>
        <w:tc>
          <w:tcPr>
            <w:tcW w:w="395" w:type="pct"/>
            <w:tcBorders>
              <w:top w:val="nil"/>
              <w:left w:val="nil"/>
              <w:bottom w:val="single" w:sz="4" w:space="0" w:color="auto"/>
              <w:right w:val="single" w:sz="4" w:space="0" w:color="auto"/>
            </w:tcBorders>
            <w:shd w:val="clear" w:color="auto" w:fill="auto"/>
            <w:vAlign w:val="center"/>
            <w:hideMark/>
          </w:tcPr>
          <w:p w14:paraId="3517326F"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9,7</w:t>
            </w:r>
          </w:p>
        </w:tc>
        <w:tc>
          <w:tcPr>
            <w:tcW w:w="394" w:type="pct"/>
            <w:tcBorders>
              <w:top w:val="nil"/>
              <w:left w:val="nil"/>
              <w:bottom w:val="single" w:sz="4" w:space="0" w:color="auto"/>
              <w:right w:val="single" w:sz="4" w:space="0" w:color="auto"/>
            </w:tcBorders>
            <w:shd w:val="clear" w:color="auto" w:fill="auto"/>
            <w:vAlign w:val="center"/>
            <w:hideMark/>
          </w:tcPr>
          <w:p w14:paraId="55F6A171"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18,8</w:t>
            </w:r>
          </w:p>
        </w:tc>
      </w:tr>
      <w:tr w:rsidR="00720CB2" w:rsidRPr="00450AA9" w14:paraId="601BA9B1" w14:textId="77777777" w:rsidTr="00A2509F">
        <w:trPr>
          <w:trHeight w:val="300"/>
        </w:trPr>
        <w:tc>
          <w:tcPr>
            <w:tcW w:w="1103" w:type="pct"/>
            <w:vMerge/>
            <w:tcBorders>
              <w:top w:val="nil"/>
              <w:left w:val="single" w:sz="4" w:space="0" w:color="auto"/>
              <w:bottom w:val="single" w:sz="4" w:space="0" w:color="auto"/>
              <w:right w:val="single" w:sz="4" w:space="0" w:color="auto"/>
            </w:tcBorders>
            <w:vAlign w:val="center"/>
            <w:hideMark/>
          </w:tcPr>
          <w:p w14:paraId="152BF6BE"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52A58DC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quotidien (≥ 30 usages dans le mois)</w:t>
            </w:r>
          </w:p>
        </w:tc>
        <w:tc>
          <w:tcPr>
            <w:tcW w:w="356" w:type="pct"/>
            <w:tcBorders>
              <w:top w:val="nil"/>
              <w:left w:val="nil"/>
              <w:bottom w:val="single" w:sz="4" w:space="0" w:color="auto"/>
              <w:right w:val="single" w:sz="4" w:space="0" w:color="auto"/>
            </w:tcBorders>
            <w:shd w:val="clear" w:color="auto" w:fill="auto"/>
            <w:vAlign w:val="center"/>
            <w:hideMark/>
          </w:tcPr>
          <w:p w14:paraId="343D9C7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16</w:t>
            </w:r>
          </w:p>
        </w:tc>
        <w:tc>
          <w:tcPr>
            <w:tcW w:w="356" w:type="pct"/>
            <w:tcBorders>
              <w:top w:val="nil"/>
              <w:left w:val="nil"/>
              <w:bottom w:val="single" w:sz="4" w:space="0" w:color="auto"/>
              <w:right w:val="single" w:sz="4" w:space="0" w:color="auto"/>
            </w:tcBorders>
            <w:shd w:val="clear" w:color="auto" w:fill="auto"/>
            <w:vAlign w:val="center"/>
            <w:hideMark/>
          </w:tcPr>
          <w:p w14:paraId="3AA8FE90"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56" w:type="pct"/>
            <w:tcBorders>
              <w:top w:val="nil"/>
              <w:left w:val="nil"/>
              <w:bottom w:val="single" w:sz="4" w:space="0" w:color="auto"/>
              <w:right w:val="single" w:sz="4" w:space="0" w:color="auto"/>
            </w:tcBorders>
            <w:shd w:val="clear" w:color="auto" w:fill="auto"/>
            <w:vAlign w:val="center"/>
            <w:hideMark/>
          </w:tcPr>
          <w:p w14:paraId="003AB90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95" w:type="pct"/>
            <w:tcBorders>
              <w:top w:val="nil"/>
              <w:left w:val="nil"/>
              <w:bottom w:val="single" w:sz="4" w:space="0" w:color="auto"/>
              <w:right w:val="single" w:sz="4" w:space="0" w:color="auto"/>
            </w:tcBorders>
            <w:shd w:val="clear" w:color="auto" w:fill="auto"/>
            <w:vAlign w:val="center"/>
            <w:hideMark/>
          </w:tcPr>
          <w:p w14:paraId="67D8E56E"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16,1</w:t>
            </w:r>
          </w:p>
        </w:tc>
        <w:tc>
          <w:tcPr>
            <w:tcW w:w="395" w:type="pct"/>
            <w:tcBorders>
              <w:top w:val="nil"/>
              <w:left w:val="nil"/>
              <w:bottom w:val="single" w:sz="4" w:space="0" w:color="auto"/>
              <w:right w:val="single" w:sz="4" w:space="0" w:color="auto"/>
            </w:tcBorders>
            <w:shd w:val="clear" w:color="auto" w:fill="auto"/>
            <w:vAlign w:val="center"/>
            <w:hideMark/>
          </w:tcPr>
          <w:p w14:paraId="06E6AD6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5,4</w:t>
            </w:r>
          </w:p>
        </w:tc>
        <w:tc>
          <w:tcPr>
            <w:tcW w:w="394" w:type="pct"/>
            <w:tcBorders>
              <w:top w:val="nil"/>
              <w:left w:val="nil"/>
              <w:bottom w:val="single" w:sz="4" w:space="0" w:color="auto"/>
              <w:right w:val="single" w:sz="4" w:space="0" w:color="auto"/>
            </w:tcBorders>
            <w:shd w:val="clear" w:color="auto" w:fill="auto"/>
            <w:vAlign w:val="center"/>
            <w:hideMark/>
          </w:tcPr>
          <w:p w14:paraId="5A96A3ED"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10,6</w:t>
            </w:r>
          </w:p>
        </w:tc>
      </w:tr>
      <w:tr w:rsidR="00720CB2" w:rsidRPr="00450AA9" w14:paraId="56751DC1" w14:textId="77777777" w:rsidTr="00A2509F">
        <w:trPr>
          <w:trHeight w:val="600"/>
        </w:trPr>
        <w:tc>
          <w:tcPr>
            <w:tcW w:w="1103" w:type="pct"/>
            <w:tcBorders>
              <w:top w:val="nil"/>
              <w:left w:val="single" w:sz="4" w:space="0" w:color="auto"/>
              <w:bottom w:val="single" w:sz="4" w:space="0" w:color="auto"/>
              <w:right w:val="single" w:sz="4" w:space="0" w:color="auto"/>
            </w:tcBorders>
            <w:shd w:val="clear" w:color="auto" w:fill="auto"/>
            <w:vAlign w:val="center"/>
            <w:hideMark/>
          </w:tcPr>
          <w:p w14:paraId="2049C90A"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Alcoolisation ponctuelle importante (API)</w:t>
            </w:r>
          </w:p>
        </w:tc>
        <w:tc>
          <w:tcPr>
            <w:tcW w:w="1646" w:type="pct"/>
            <w:tcBorders>
              <w:top w:val="nil"/>
              <w:left w:val="nil"/>
              <w:bottom w:val="single" w:sz="4" w:space="0" w:color="auto"/>
              <w:right w:val="single" w:sz="4" w:space="0" w:color="auto"/>
            </w:tcBorders>
            <w:shd w:val="clear" w:color="auto" w:fill="auto"/>
            <w:noWrap/>
            <w:vAlign w:val="center"/>
            <w:hideMark/>
          </w:tcPr>
          <w:p w14:paraId="49B2410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Dans le mois ( ≥ 1 fois)</w:t>
            </w:r>
          </w:p>
        </w:tc>
        <w:tc>
          <w:tcPr>
            <w:tcW w:w="356" w:type="pct"/>
            <w:tcBorders>
              <w:top w:val="nil"/>
              <w:left w:val="nil"/>
              <w:bottom w:val="single" w:sz="4" w:space="0" w:color="auto"/>
              <w:right w:val="single" w:sz="4" w:space="0" w:color="auto"/>
            </w:tcBorders>
            <w:shd w:val="clear" w:color="auto" w:fill="auto"/>
            <w:vAlign w:val="center"/>
            <w:hideMark/>
          </w:tcPr>
          <w:p w14:paraId="56756C7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26</w:t>
            </w:r>
          </w:p>
        </w:tc>
        <w:tc>
          <w:tcPr>
            <w:tcW w:w="356" w:type="pct"/>
            <w:tcBorders>
              <w:top w:val="nil"/>
              <w:left w:val="nil"/>
              <w:bottom w:val="single" w:sz="4" w:space="0" w:color="auto"/>
              <w:right w:val="single" w:sz="4" w:space="0" w:color="auto"/>
            </w:tcBorders>
            <w:shd w:val="clear" w:color="auto" w:fill="auto"/>
            <w:vAlign w:val="center"/>
            <w:hideMark/>
          </w:tcPr>
          <w:p w14:paraId="71CE7FD8"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9</w:t>
            </w:r>
          </w:p>
        </w:tc>
        <w:tc>
          <w:tcPr>
            <w:tcW w:w="356" w:type="pct"/>
            <w:tcBorders>
              <w:top w:val="nil"/>
              <w:left w:val="nil"/>
              <w:bottom w:val="single" w:sz="4" w:space="0" w:color="auto"/>
              <w:right w:val="single" w:sz="4" w:space="0" w:color="auto"/>
            </w:tcBorders>
            <w:shd w:val="clear" w:color="auto" w:fill="auto"/>
            <w:vAlign w:val="center"/>
            <w:hideMark/>
          </w:tcPr>
          <w:p w14:paraId="1A0B7C4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17</w:t>
            </w:r>
          </w:p>
        </w:tc>
        <w:tc>
          <w:tcPr>
            <w:tcW w:w="395" w:type="pct"/>
            <w:tcBorders>
              <w:top w:val="nil"/>
              <w:left w:val="nil"/>
              <w:bottom w:val="single" w:sz="4" w:space="0" w:color="auto"/>
              <w:right w:val="single" w:sz="4" w:space="0" w:color="auto"/>
            </w:tcBorders>
            <w:shd w:val="clear" w:color="auto" w:fill="auto"/>
            <w:vAlign w:val="center"/>
            <w:hideMark/>
          </w:tcPr>
          <w:p w14:paraId="45AB7E8B"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25,2</w:t>
            </w:r>
          </w:p>
        </w:tc>
        <w:tc>
          <w:tcPr>
            <w:tcW w:w="395" w:type="pct"/>
            <w:tcBorders>
              <w:top w:val="nil"/>
              <w:left w:val="nil"/>
              <w:bottom w:val="single" w:sz="4" w:space="0" w:color="auto"/>
              <w:right w:val="single" w:sz="4" w:space="0" w:color="auto"/>
            </w:tcBorders>
            <w:shd w:val="clear" w:color="auto" w:fill="auto"/>
            <w:vAlign w:val="center"/>
            <w:hideMark/>
          </w:tcPr>
          <w:p w14:paraId="5F2270A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7,6</w:t>
            </w:r>
          </w:p>
        </w:tc>
        <w:tc>
          <w:tcPr>
            <w:tcW w:w="394" w:type="pct"/>
            <w:tcBorders>
              <w:top w:val="nil"/>
              <w:left w:val="nil"/>
              <w:bottom w:val="single" w:sz="4" w:space="0" w:color="auto"/>
              <w:right w:val="single" w:sz="4" w:space="0" w:color="auto"/>
            </w:tcBorders>
            <w:shd w:val="clear" w:color="auto" w:fill="auto"/>
            <w:vAlign w:val="center"/>
            <w:hideMark/>
          </w:tcPr>
          <w:p w14:paraId="4748FF4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16,2</w:t>
            </w:r>
          </w:p>
        </w:tc>
      </w:tr>
      <w:tr w:rsidR="00720CB2" w:rsidRPr="00450AA9" w14:paraId="0835D53D" w14:textId="77777777" w:rsidTr="00A2509F">
        <w:trPr>
          <w:trHeight w:val="300"/>
        </w:trPr>
        <w:tc>
          <w:tcPr>
            <w:tcW w:w="11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03575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Tabac</w:t>
            </w:r>
          </w:p>
        </w:tc>
        <w:tc>
          <w:tcPr>
            <w:tcW w:w="1646" w:type="pct"/>
            <w:tcBorders>
              <w:top w:val="nil"/>
              <w:left w:val="nil"/>
              <w:bottom w:val="single" w:sz="4" w:space="0" w:color="auto"/>
              <w:right w:val="single" w:sz="4" w:space="0" w:color="auto"/>
            </w:tcBorders>
            <w:shd w:val="clear" w:color="auto" w:fill="auto"/>
            <w:noWrap/>
            <w:vAlign w:val="center"/>
            <w:hideMark/>
          </w:tcPr>
          <w:p w14:paraId="293AA9D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4A92023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81</w:t>
            </w:r>
          </w:p>
        </w:tc>
        <w:tc>
          <w:tcPr>
            <w:tcW w:w="356" w:type="pct"/>
            <w:tcBorders>
              <w:top w:val="nil"/>
              <w:left w:val="nil"/>
              <w:bottom w:val="single" w:sz="4" w:space="0" w:color="auto"/>
              <w:right w:val="single" w:sz="4" w:space="0" w:color="auto"/>
            </w:tcBorders>
            <w:shd w:val="clear" w:color="auto" w:fill="auto"/>
            <w:noWrap/>
            <w:vAlign w:val="center"/>
            <w:hideMark/>
          </w:tcPr>
          <w:p w14:paraId="5E6B7D13"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72</w:t>
            </w:r>
          </w:p>
        </w:tc>
        <w:tc>
          <w:tcPr>
            <w:tcW w:w="356" w:type="pct"/>
            <w:tcBorders>
              <w:top w:val="nil"/>
              <w:left w:val="nil"/>
              <w:bottom w:val="single" w:sz="4" w:space="0" w:color="auto"/>
              <w:right w:val="single" w:sz="4" w:space="0" w:color="auto"/>
            </w:tcBorders>
            <w:shd w:val="clear" w:color="auto" w:fill="auto"/>
            <w:noWrap/>
            <w:vAlign w:val="center"/>
            <w:hideMark/>
          </w:tcPr>
          <w:p w14:paraId="5CAA293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76</w:t>
            </w:r>
          </w:p>
        </w:tc>
        <w:tc>
          <w:tcPr>
            <w:tcW w:w="395" w:type="pct"/>
            <w:tcBorders>
              <w:top w:val="nil"/>
              <w:left w:val="nil"/>
              <w:bottom w:val="single" w:sz="4" w:space="0" w:color="auto"/>
              <w:right w:val="single" w:sz="4" w:space="0" w:color="auto"/>
            </w:tcBorders>
            <w:shd w:val="clear" w:color="auto" w:fill="auto"/>
            <w:noWrap/>
            <w:vAlign w:val="center"/>
            <w:hideMark/>
          </w:tcPr>
          <w:p w14:paraId="06FC826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81,2</w:t>
            </w:r>
          </w:p>
        </w:tc>
        <w:tc>
          <w:tcPr>
            <w:tcW w:w="395" w:type="pct"/>
            <w:tcBorders>
              <w:top w:val="nil"/>
              <w:left w:val="nil"/>
              <w:bottom w:val="single" w:sz="4" w:space="0" w:color="auto"/>
              <w:right w:val="single" w:sz="4" w:space="0" w:color="auto"/>
            </w:tcBorders>
            <w:shd w:val="clear" w:color="auto" w:fill="auto"/>
            <w:noWrap/>
            <w:vAlign w:val="center"/>
            <w:hideMark/>
          </w:tcPr>
          <w:p w14:paraId="20240F6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70,5</w:t>
            </w:r>
          </w:p>
        </w:tc>
        <w:tc>
          <w:tcPr>
            <w:tcW w:w="394" w:type="pct"/>
            <w:tcBorders>
              <w:top w:val="nil"/>
              <w:left w:val="nil"/>
              <w:bottom w:val="single" w:sz="4" w:space="0" w:color="auto"/>
              <w:right w:val="single" w:sz="4" w:space="0" w:color="auto"/>
            </w:tcBorders>
            <w:shd w:val="clear" w:color="auto" w:fill="auto"/>
            <w:noWrap/>
            <w:vAlign w:val="center"/>
            <w:hideMark/>
          </w:tcPr>
          <w:p w14:paraId="226E9AD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75,7</w:t>
            </w:r>
          </w:p>
        </w:tc>
      </w:tr>
      <w:tr w:rsidR="007B7CFB" w:rsidRPr="00450AA9" w14:paraId="67CC7B12" w14:textId="77777777" w:rsidTr="00A2509F">
        <w:trPr>
          <w:trHeight w:val="300"/>
        </w:trPr>
        <w:tc>
          <w:tcPr>
            <w:tcW w:w="1103" w:type="pct"/>
            <w:vMerge/>
            <w:tcBorders>
              <w:top w:val="nil"/>
              <w:left w:val="single" w:sz="4" w:space="0" w:color="auto"/>
              <w:bottom w:val="single" w:sz="4" w:space="0" w:color="auto"/>
              <w:right w:val="single" w:sz="4" w:space="0" w:color="auto"/>
            </w:tcBorders>
            <w:vAlign w:val="center"/>
            <w:hideMark/>
          </w:tcPr>
          <w:p w14:paraId="14423711" w14:textId="77777777" w:rsidR="007B7CFB" w:rsidRPr="00450AA9" w:rsidRDefault="007B7CFB" w:rsidP="007B7CFB">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4B47399A" w14:textId="03ACFE8C" w:rsidR="007B7CFB" w:rsidRPr="00450AA9" w:rsidRDefault="007B7CFB" w:rsidP="007B7CFB">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Quotidien (≥ 1 cig</w:t>
            </w:r>
            <w:r w:rsidR="00F040E0">
              <w:rPr>
                <w:rFonts w:ascii="Calibri" w:eastAsia="Times New Roman" w:hAnsi="Calibri" w:cs="Times New Roman"/>
                <w:color w:val="000000"/>
                <w:sz w:val="14"/>
                <w:szCs w:val="14"/>
                <w:lang w:eastAsia="fr-FR"/>
              </w:rPr>
              <w:t>arette</w:t>
            </w:r>
            <w:r w:rsidRPr="00450AA9">
              <w:rPr>
                <w:rFonts w:ascii="Calibri" w:eastAsia="Times New Roman" w:hAnsi="Calibri" w:cs="Times New Roman"/>
                <w:color w:val="000000"/>
                <w:sz w:val="14"/>
                <w:szCs w:val="14"/>
                <w:lang w:eastAsia="fr-FR"/>
              </w:rPr>
              <w:t>/jour)</w:t>
            </w:r>
          </w:p>
        </w:tc>
        <w:tc>
          <w:tcPr>
            <w:tcW w:w="356" w:type="pct"/>
            <w:tcBorders>
              <w:top w:val="nil"/>
              <w:left w:val="nil"/>
              <w:bottom w:val="single" w:sz="4" w:space="0" w:color="auto"/>
              <w:right w:val="single" w:sz="4" w:space="0" w:color="auto"/>
            </w:tcBorders>
            <w:shd w:val="clear" w:color="auto" w:fill="auto"/>
            <w:noWrap/>
            <w:vAlign w:val="center"/>
            <w:hideMark/>
          </w:tcPr>
          <w:p w14:paraId="0679AC27" w14:textId="1AB17864" w:rsidR="007B7CFB" w:rsidRPr="00720CB2" w:rsidRDefault="007B7CFB" w:rsidP="007B7CFB">
            <w:pPr>
              <w:spacing w:after="0"/>
              <w:jc w:val="center"/>
              <w:rPr>
                <w:rFonts w:ascii="Calibri" w:hAnsi="Calibri"/>
                <w:color w:val="000000"/>
                <w:sz w:val="14"/>
                <w:szCs w:val="14"/>
              </w:rPr>
            </w:pPr>
            <w:r w:rsidRPr="00720CB2">
              <w:rPr>
                <w:rFonts w:ascii="Calibri" w:hAnsi="Calibri"/>
                <w:color w:val="000000"/>
                <w:sz w:val="14"/>
                <w:szCs w:val="14"/>
              </w:rPr>
              <w:t>29</w:t>
            </w:r>
          </w:p>
        </w:tc>
        <w:tc>
          <w:tcPr>
            <w:tcW w:w="356" w:type="pct"/>
            <w:tcBorders>
              <w:top w:val="nil"/>
              <w:left w:val="nil"/>
              <w:bottom w:val="single" w:sz="4" w:space="0" w:color="auto"/>
              <w:right w:val="single" w:sz="4" w:space="0" w:color="auto"/>
            </w:tcBorders>
            <w:shd w:val="clear" w:color="auto" w:fill="auto"/>
            <w:noWrap/>
            <w:vAlign w:val="center"/>
            <w:hideMark/>
          </w:tcPr>
          <w:p w14:paraId="04CE1A88" w14:textId="1345F9F5" w:rsidR="007B7CFB" w:rsidRPr="00720CB2" w:rsidRDefault="007B7CFB" w:rsidP="007B7CFB">
            <w:pPr>
              <w:spacing w:after="0"/>
              <w:jc w:val="center"/>
              <w:rPr>
                <w:rFonts w:ascii="Calibri" w:hAnsi="Calibri"/>
                <w:color w:val="000000"/>
                <w:sz w:val="14"/>
                <w:szCs w:val="14"/>
              </w:rPr>
            </w:pPr>
            <w:r w:rsidRPr="00720CB2">
              <w:rPr>
                <w:rFonts w:ascii="Calibri" w:hAnsi="Calibri"/>
                <w:color w:val="000000"/>
                <w:sz w:val="14"/>
                <w:szCs w:val="14"/>
              </w:rPr>
              <w:t>24</w:t>
            </w:r>
          </w:p>
        </w:tc>
        <w:tc>
          <w:tcPr>
            <w:tcW w:w="356" w:type="pct"/>
            <w:tcBorders>
              <w:top w:val="nil"/>
              <w:left w:val="nil"/>
              <w:bottom w:val="single" w:sz="4" w:space="0" w:color="auto"/>
              <w:right w:val="single" w:sz="4" w:space="0" w:color="auto"/>
            </w:tcBorders>
            <w:shd w:val="clear" w:color="auto" w:fill="auto"/>
            <w:noWrap/>
            <w:vAlign w:val="center"/>
            <w:hideMark/>
          </w:tcPr>
          <w:p w14:paraId="71DC7605" w14:textId="6799550E" w:rsidR="007B7CFB" w:rsidRPr="00720CB2" w:rsidRDefault="007B7CFB" w:rsidP="007B7CFB">
            <w:pPr>
              <w:spacing w:after="0"/>
              <w:jc w:val="center"/>
              <w:rPr>
                <w:rFonts w:ascii="Calibri" w:hAnsi="Calibri"/>
                <w:color w:val="000000"/>
                <w:sz w:val="14"/>
                <w:szCs w:val="14"/>
              </w:rPr>
            </w:pPr>
            <w:r w:rsidRPr="00720CB2">
              <w:rPr>
                <w:rFonts w:ascii="Calibri" w:hAnsi="Calibri"/>
                <w:color w:val="000000"/>
                <w:sz w:val="14"/>
                <w:szCs w:val="14"/>
              </w:rPr>
              <w:t>26</w:t>
            </w:r>
          </w:p>
        </w:tc>
        <w:tc>
          <w:tcPr>
            <w:tcW w:w="395" w:type="pct"/>
            <w:tcBorders>
              <w:top w:val="nil"/>
              <w:left w:val="nil"/>
              <w:bottom w:val="single" w:sz="4" w:space="0" w:color="auto"/>
              <w:right w:val="single" w:sz="4" w:space="0" w:color="auto"/>
            </w:tcBorders>
            <w:shd w:val="clear" w:color="auto" w:fill="auto"/>
            <w:noWrap/>
            <w:vAlign w:val="center"/>
            <w:hideMark/>
          </w:tcPr>
          <w:p w14:paraId="31A89ADF" w14:textId="20BCD998" w:rsidR="007B7CFB" w:rsidRPr="00D34329" w:rsidRDefault="007B7CFB" w:rsidP="007B7CFB">
            <w:pPr>
              <w:spacing w:after="0"/>
              <w:jc w:val="center"/>
              <w:rPr>
                <w:rFonts w:ascii="Calibri" w:hAnsi="Calibri"/>
                <w:color w:val="000000"/>
                <w:sz w:val="14"/>
                <w:szCs w:val="14"/>
              </w:rPr>
            </w:pPr>
            <w:r w:rsidRPr="00D34329">
              <w:rPr>
                <w:rFonts w:ascii="Calibri" w:hAnsi="Calibri"/>
                <w:color w:val="000000"/>
                <w:sz w:val="14"/>
                <w:szCs w:val="14"/>
              </w:rPr>
              <w:t>29,8</w:t>
            </w:r>
          </w:p>
        </w:tc>
        <w:tc>
          <w:tcPr>
            <w:tcW w:w="395" w:type="pct"/>
            <w:tcBorders>
              <w:top w:val="nil"/>
              <w:left w:val="nil"/>
              <w:bottom w:val="single" w:sz="4" w:space="0" w:color="auto"/>
              <w:right w:val="single" w:sz="4" w:space="0" w:color="auto"/>
            </w:tcBorders>
            <w:shd w:val="clear" w:color="auto" w:fill="auto"/>
            <w:noWrap/>
            <w:vAlign w:val="center"/>
            <w:hideMark/>
          </w:tcPr>
          <w:p w14:paraId="2C4A3CFF" w14:textId="470ECCC5" w:rsidR="007B7CFB" w:rsidRPr="00D34329" w:rsidRDefault="007B7CFB" w:rsidP="007B7CFB">
            <w:pPr>
              <w:spacing w:after="0"/>
              <w:jc w:val="center"/>
              <w:rPr>
                <w:rFonts w:ascii="Calibri" w:hAnsi="Calibri"/>
                <w:color w:val="000000"/>
                <w:sz w:val="14"/>
                <w:szCs w:val="14"/>
              </w:rPr>
            </w:pPr>
            <w:r w:rsidRPr="00D34329">
              <w:rPr>
                <w:rFonts w:ascii="Calibri" w:hAnsi="Calibri"/>
                <w:color w:val="000000"/>
                <w:sz w:val="14"/>
                <w:szCs w:val="14"/>
              </w:rPr>
              <w:t>24,2</w:t>
            </w:r>
          </w:p>
        </w:tc>
        <w:tc>
          <w:tcPr>
            <w:tcW w:w="394" w:type="pct"/>
            <w:tcBorders>
              <w:top w:val="nil"/>
              <w:left w:val="nil"/>
              <w:bottom w:val="single" w:sz="4" w:space="0" w:color="auto"/>
              <w:right w:val="single" w:sz="4" w:space="0" w:color="auto"/>
            </w:tcBorders>
            <w:shd w:val="clear" w:color="auto" w:fill="auto"/>
            <w:noWrap/>
            <w:vAlign w:val="center"/>
            <w:hideMark/>
          </w:tcPr>
          <w:p w14:paraId="3712D043" w14:textId="2C2EB4FA" w:rsidR="007B7CFB" w:rsidRPr="00D34329" w:rsidRDefault="007B7CFB" w:rsidP="007B7CFB">
            <w:pPr>
              <w:spacing w:after="0"/>
              <w:jc w:val="center"/>
              <w:rPr>
                <w:rFonts w:ascii="Calibri" w:hAnsi="Calibri"/>
                <w:color w:val="000000"/>
                <w:sz w:val="14"/>
                <w:szCs w:val="14"/>
              </w:rPr>
            </w:pPr>
            <w:r w:rsidRPr="00D34329">
              <w:rPr>
                <w:rFonts w:ascii="Calibri" w:hAnsi="Calibri"/>
                <w:color w:val="000000"/>
                <w:sz w:val="14"/>
                <w:szCs w:val="14"/>
              </w:rPr>
              <w:t>27,0</w:t>
            </w:r>
          </w:p>
        </w:tc>
      </w:tr>
      <w:tr w:rsidR="00720CB2" w:rsidRPr="00450AA9" w14:paraId="09FE7B49" w14:textId="77777777" w:rsidTr="00A2509F">
        <w:trPr>
          <w:trHeight w:val="300"/>
        </w:trPr>
        <w:tc>
          <w:tcPr>
            <w:tcW w:w="1103" w:type="pct"/>
            <w:vMerge/>
            <w:tcBorders>
              <w:top w:val="nil"/>
              <w:left w:val="single" w:sz="4" w:space="0" w:color="auto"/>
              <w:bottom w:val="single" w:sz="4" w:space="0" w:color="auto"/>
              <w:right w:val="single" w:sz="4" w:space="0" w:color="auto"/>
            </w:tcBorders>
            <w:vAlign w:val="center"/>
            <w:hideMark/>
          </w:tcPr>
          <w:p w14:paraId="2A9A4E7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7CC1C8EE" w14:textId="3BFD02B5"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Intensif (≥ 10 cig</w:t>
            </w:r>
            <w:r w:rsidR="00F040E0">
              <w:rPr>
                <w:rFonts w:ascii="Calibri" w:eastAsia="Times New Roman" w:hAnsi="Calibri" w:cs="Times New Roman"/>
                <w:color w:val="000000"/>
                <w:sz w:val="14"/>
                <w:szCs w:val="14"/>
                <w:lang w:eastAsia="fr-FR"/>
              </w:rPr>
              <w:t>arettes</w:t>
            </w:r>
            <w:r w:rsidRPr="00450AA9">
              <w:rPr>
                <w:rFonts w:ascii="Calibri" w:eastAsia="Times New Roman" w:hAnsi="Calibri" w:cs="Times New Roman"/>
                <w:color w:val="000000"/>
                <w:sz w:val="14"/>
                <w:szCs w:val="14"/>
                <w:lang w:eastAsia="fr-FR"/>
              </w:rPr>
              <w:t>/jour)</w:t>
            </w:r>
          </w:p>
        </w:tc>
        <w:tc>
          <w:tcPr>
            <w:tcW w:w="356" w:type="pct"/>
            <w:tcBorders>
              <w:top w:val="nil"/>
              <w:left w:val="nil"/>
              <w:bottom w:val="single" w:sz="4" w:space="0" w:color="auto"/>
              <w:right w:val="single" w:sz="4" w:space="0" w:color="auto"/>
            </w:tcBorders>
            <w:shd w:val="clear" w:color="auto" w:fill="auto"/>
            <w:noWrap/>
            <w:vAlign w:val="center"/>
            <w:hideMark/>
          </w:tcPr>
          <w:p w14:paraId="31464328" w14:textId="6AC741C7" w:rsidR="00720CB2" w:rsidRPr="00720CB2" w:rsidRDefault="007B7CFB" w:rsidP="00720CB2">
            <w:pPr>
              <w:spacing w:after="0"/>
              <w:jc w:val="center"/>
              <w:rPr>
                <w:rFonts w:ascii="Calibri" w:hAnsi="Calibri"/>
                <w:color w:val="000000"/>
                <w:sz w:val="14"/>
                <w:szCs w:val="14"/>
              </w:rPr>
            </w:pPr>
            <w:r w:rsidRPr="007B7CFB">
              <w:rPr>
                <w:rFonts w:ascii="Calibri" w:hAnsi="Calibri"/>
                <w:color w:val="00B050"/>
                <w:sz w:val="14"/>
                <w:szCs w:val="14"/>
              </w:rPr>
              <w:t>14*</w:t>
            </w:r>
          </w:p>
        </w:tc>
        <w:tc>
          <w:tcPr>
            <w:tcW w:w="356" w:type="pct"/>
            <w:tcBorders>
              <w:top w:val="nil"/>
              <w:left w:val="nil"/>
              <w:bottom w:val="single" w:sz="4" w:space="0" w:color="auto"/>
              <w:right w:val="single" w:sz="4" w:space="0" w:color="auto"/>
            </w:tcBorders>
            <w:shd w:val="clear" w:color="auto" w:fill="auto"/>
            <w:noWrap/>
            <w:vAlign w:val="center"/>
            <w:hideMark/>
          </w:tcPr>
          <w:p w14:paraId="6F8B1033" w14:textId="1F8C711A" w:rsidR="00720CB2" w:rsidRPr="00720CB2" w:rsidRDefault="007B7CFB" w:rsidP="00720CB2">
            <w:pPr>
              <w:spacing w:after="0"/>
              <w:jc w:val="center"/>
              <w:rPr>
                <w:rFonts w:ascii="Calibri" w:hAnsi="Calibri"/>
                <w:color w:val="000000"/>
                <w:sz w:val="14"/>
                <w:szCs w:val="14"/>
              </w:rPr>
            </w:pPr>
            <w:r>
              <w:rPr>
                <w:rFonts w:ascii="Calibri" w:hAnsi="Calibri"/>
                <w:color w:val="000000"/>
                <w:sz w:val="14"/>
                <w:szCs w:val="14"/>
              </w:rPr>
              <w:t>9</w:t>
            </w:r>
          </w:p>
        </w:tc>
        <w:tc>
          <w:tcPr>
            <w:tcW w:w="356" w:type="pct"/>
            <w:tcBorders>
              <w:top w:val="nil"/>
              <w:left w:val="nil"/>
              <w:bottom w:val="single" w:sz="4" w:space="0" w:color="auto"/>
              <w:right w:val="single" w:sz="4" w:space="0" w:color="auto"/>
            </w:tcBorders>
            <w:shd w:val="clear" w:color="auto" w:fill="auto"/>
            <w:noWrap/>
            <w:vAlign w:val="center"/>
            <w:hideMark/>
          </w:tcPr>
          <w:p w14:paraId="44F956FC" w14:textId="79337051" w:rsidR="00720CB2" w:rsidRPr="00720CB2" w:rsidRDefault="007B7CFB" w:rsidP="00720CB2">
            <w:pPr>
              <w:spacing w:after="0"/>
              <w:jc w:val="center"/>
              <w:rPr>
                <w:rFonts w:ascii="Calibri" w:hAnsi="Calibri"/>
                <w:color w:val="000000"/>
                <w:sz w:val="14"/>
                <w:szCs w:val="14"/>
              </w:rPr>
            </w:pPr>
            <w:r w:rsidRPr="007B7CFB">
              <w:rPr>
                <w:rFonts w:ascii="Calibri" w:hAnsi="Calibri"/>
                <w:color w:val="00B050"/>
                <w:sz w:val="14"/>
                <w:szCs w:val="14"/>
              </w:rPr>
              <w:t>11*</w:t>
            </w:r>
          </w:p>
        </w:tc>
        <w:tc>
          <w:tcPr>
            <w:tcW w:w="395" w:type="pct"/>
            <w:tcBorders>
              <w:top w:val="nil"/>
              <w:left w:val="nil"/>
              <w:bottom w:val="single" w:sz="4" w:space="0" w:color="auto"/>
              <w:right w:val="single" w:sz="4" w:space="0" w:color="auto"/>
            </w:tcBorders>
            <w:shd w:val="clear" w:color="auto" w:fill="auto"/>
            <w:noWrap/>
            <w:vAlign w:val="center"/>
          </w:tcPr>
          <w:p w14:paraId="2C8ACF19" w14:textId="1A56B9BD" w:rsidR="00720CB2" w:rsidRPr="00D34329" w:rsidRDefault="007B7CFB" w:rsidP="00720CB2">
            <w:pPr>
              <w:spacing w:after="0"/>
              <w:jc w:val="center"/>
              <w:rPr>
                <w:rFonts w:ascii="Calibri" w:hAnsi="Calibri"/>
                <w:color w:val="000000"/>
                <w:sz w:val="14"/>
                <w:szCs w:val="14"/>
              </w:rPr>
            </w:pPr>
            <w:r>
              <w:rPr>
                <w:rFonts w:ascii="Calibri" w:hAnsi="Calibri"/>
                <w:color w:val="000000"/>
                <w:sz w:val="14"/>
                <w:szCs w:val="14"/>
              </w:rPr>
              <w:t>15,7</w:t>
            </w:r>
          </w:p>
        </w:tc>
        <w:tc>
          <w:tcPr>
            <w:tcW w:w="395" w:type="pct"/>
            <w:tcBorders>
              <w:top w:val="nil"/>
              <w:left w:val="nil"/>
              <w:bottom w:val="single" w:sz="4" w:space="0" w:color="auto"/>
              <w:right w:val="single" w:sz="4" w:space="0" w:color="auto"/>
            </w:tcBorders>
            <w:shd w:val="clear" w:color="auto" w:fill="auto"/>
            <w:noWrap/>
            <w:vAlign w:val="center"/>
          </w:tcPr>
          <w:p w14:paraId="6437CBD8" w14:textId="0C20507E" w:rsidR="00720CB2" w:rsidRPr="00D34329" w:rsidRDefault="007B7CFB" w:rsidP="00720CB2">
            <w:pPr>
              <w:spacing w:after="0"/>
              <w:jc w:val="center"/>
              <w:rPr>
                <w:rFonts w:ascii="Calibri" w:hAnsi="Calibri"/>
                <w:color w:val="000000"/>
                <w:sz w:val="14"/>
                <w:szCs w:val="14"/>
              </w:rPr>
            </w:pPr>
            <w:r>
              <w:rPr>
                <w:rFonts w:ascii="Calibri" w:hAnsi="Calibri"/>
                <w:color w:val="000000"/>
                <w:sz w:val="14"/>
                <w:szCs w:val="14"/>
              </w:rPr>
              <w:t>10,2</w:t>
            </w:r>
          </w:p>
        </w:tc>
        <w:tc>
          <w:tcPr>
            <w:tcW w:w="394" w:type="pct"/>
            <w:tcBorders>
              <w:top w:val="nil"/>
              <w:left w:val="nil"/>
              <w:bottom w:val="single" w:sz="4" w:space="0" w:color="auto"/>
              <w:right w:val="single" w:sz="4" w:space="0" w:color="auto"/>
            </w:tcBorders>
            <w:shd w:val="clear" w:color="auto" w:fill="auto"/>
            <w:noWrap/>
            <w:vAlign w:val="center"/>
          </w:tcPr>
          <w:p w14:paraId="4B940E89" w14:textId="4EBCBA87" w:rsidR="00720CB2" w:rsidRPr="00D34329" w:rsidRDefault="007B7CFB" w:rsidP="00720CB2">
            <w:pPr>
              <w:spacing w:after="0"/>
              <w:jc w:val="center"/>
              <w:rPr>
                <w:rFonts w:ascii="Calibri" w:hAnsi="Calibri"/>
                <w:color w:val="000000"/>
                <w:sz w:val="14"/>
                <w:szCs w:val="14"/>
              </w:rPr>
            </w:pPr>
            <w:r>
              <w:rPr>
                <w:rFonts w:ascii="Calibri" w:hAnsi="Calibri"/>
                <w:color w:val="000000"/>
                <w:sz w:val="14"/>
                <w:szCs w:val="14"/>
              </w:rPr>
              <w:t>12,8</w:t>
            </w:r>
          </w:p>
        </w:tc>
      </w:tr>
      <w:tr w:rsidR="00720CB2" w:rsidRPr="00450AA9" w14:paraId="6ACBBB6B" w14:textId="77777777" w:rsidTr="00A2509F">
        <w:trPr>
          <w:trHeight w:val="300"/>
        </w:trPr>
        <w:tc>
          <w:tcPr>
            <w:tcW w:w="11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CC470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Cannabis</w:t>
            </w:r>
          </w:p>
        </w:tc>
        <w:tc>
          <w:tcPr>
            <w:tcW w:w="1646" w:type="pct"/>
            <w:tcBorders>
              <w:top w:val="nil"/>
              <w:left w:val="nil"/>
              <w:bottom w:val="single" w:sz="4" w:space="0" w:color="auto"/>
              <w:right w:val="single" w:sz="4" w:space="0" w:color="auto"/>
            </w:tcBorders>
            <w:shd w:val="clear" w:color="auto" w:fill="auto"/>
            <w:noWrap/>
            <w:vAlign w:val="center"/>
            <w:hideMark/>
          </w:tcPr>
          <w:p w14:paraId="71CCE6F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5CC6CB9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53</w:t>
            </w:r>
          </w:p>
        </w:tc>
        <w:tc>
          <w:tcPr>
            <w:tcW w:w="356" w:type="pct"/>
            <w:tcBorders>
              <w:top w:val="nil"/>
              <w:left w:val="nil"/>
              <w:bottom w:val="single" w:sz="4" w:space="0" w:color="auto"/>
              <w:right w:val="single" w:sz="4" w:space="0" w:color="auto"/>
            </w:tcBorders>
            <w:shd w:val="clear" w:color="auto" w:fill="auto"/>
            <w:noWrap/>
            <w:vAlign w:val="center"/>
            <w:hideMark/>
          </w:tcPr>
          <w:p w14:paraId="517D092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37</w:t>
            </w:r>
          </w:p>
        </w:tc>
        <w:tc>
          <w:tcPr>
            <w:tcW w:w="356" w:type="pct"/>
            <w:tcBorders>
              <w:top w:val="nil"/>
              <w:left w:val="nil"/>
              <w:bottom w:val="single" w:sz="4" w:space="0" w:color="auto"/>
              <w:right w:val="single" w:sz="4" w:space="0" w:color="auto"/>
            </w:tcBorders>
            <w:shd w:val="clear" w:color="auto" w:fill="auto"/>
            <w:noWrap/>
            <w:vAlign w:val="center"/>
            <w:hideMark/>
          </w:tcPr>
          <w:p w14:paraId="44D4872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45</w:t>
            </w:r>
          </w:p>
        </w:tc>
        <w:tc>
          <w:tcPr>
            <w:tcW w:w="395" w:type="pct"/>
            <w:tcBorders>
              <w:top w:val="nil"/>
              <w:left w:val="nil"/>
              <w:bottom w:val="single" w:sz="4" w:space="0" w:color="auto"/>
              <w:right w:val="single" w:sz="4" w:space="0" w:color="auto"/>
            </w:tcBorders>
            <w:shd w:val="clear" w:color="auto" w:fill="auto"/>
            <w:noWrap/>
            <w:vAlign w:val="center"/>
            <w:hideMark/>
          </w:tcPr>
          <w:p w14:paraId="28513A7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52,7</w:t>
            </w:r>
          </w:p>
        </w:tc>
        <w:tc>
          <w:tcPr>
            <w:tcW w:w="395" w:type="pct"/>
            <w:tcBorders>
              <w:top w:val="nil"/>
              <w:left w:val="nil"/>
              <w:bottom w:val="single" w:sz="4" w:space="0" w:color="auto"/>
              <w:right w:val="single" w:sz="4" w:space="0" w:color="auto"/>
            </w:tcBorders>
            <w:shd w:val="clear" w:color="auto" w:fill="auto"/>
            <w:noWrap/>
            <w:vAlign w:val="center"/>
            <w:hideMark/>
          </w:tcPr>
          <w:p w14:paraId="4F3D68AF"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37,2</w:t>
            </w:r>
          </w:p>
        </w:tc>
        <w:tc>
          <w:tcPr>
            <w:tcW w:w="394" w:type="pct"/>
            <w:tcBorders>
              <w:top w:val="nil"/>
              <w:left w:val="nil"/>
              <w:bottom w:val="single" w:sz="4" w:space="0" w:color="auto"/>
              <w:right w:val="single" w:sz="4" w:space="0" w:color="auto"/>
            </w:tcBorders>
            <w:shd w:val="clear" w:color="auto" w:fill="auto"/>
            <w:noWrap/>
            <w:vAlign w:val="center"/>
            <w:hideMark/>
          </w:tcPr>
          <w:p w14:paraId="01E5DFEA"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44,8</w:t>
            </w:r>
          </w:p>
        </w:tc>
      </w:tr>
      <w:tr w:rsidR="00720CB2" w:rsidRPr="00450AA9" w14:paraId="13F52314" w14:textId="77777777" w:rsidTr="00A2509F">
        <w:trPr>
          <w:trHeight w:val="300"/>
        </w:trPr>
        <w:tc>
          <w:tcPr>
            <w:tcW w:w="1103" w:type="pct"/>
            <w:vMerge/>
            <w:tcBorders>
              <w:top w:val="nil"/>
              <w:left w:val="single" w:sz="4" w:space="0" w:color="auto"/>
              <w:bottom w:val="single" w:sz="4" w:space="0" w:color="000000"/>
              <w:right w:val="single" w:sz="4" w:space="0" w:color="auto"/>
            </w:tcBorders>
            <w:vAlign w:val="center"/>
            <w:hideMark/>
          </w:tcPr>
          <w:p w14:paraId="24E1E68B"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095637D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l'année</w:t>
            </w:r>
          </w:p>
        </w:tc>
        <w:tc>
          <w:tcPr>
            <w:tcW w:w="356" w:type="pct"/>
            <w:tcBorders>
              <w:top w:val="nil"/>
              <w:left w:val="nil"/>
              <w:bottom w:val="single" w:sz="4" w:space="0" w:color="auto"/>
              <w:right w:val="single" w:sz="4" w:space="0" w:color="auto"/>
            </w:tcBorders>
            <w:shd w:val="clear" w:color="auto" w:fill="auto"/>
            <w:noWrap/>
            <w:vAlign w:val="center"/>
            <w:hideMark/>
          </w:tcPr>
          <w:p w14:paraId="4BA908A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15</w:t>
            </w:r>
          </w:p>
        </w:tc>
        <w:tc>
          <w:tcPr>
            <w:tcW w:w="356" w:type="pct"/>
            <w:tcBorders>
              <w:top w:val="nil"/>
              <w:left w:val="nil"/>
              <w:bottom w:val="single" w:sz="4" w:space="0" w:color="auto"/>
              <w:right w:val="single" w:sz="4" w:space="0" w:color="auto"/>
            </w:tcBorders>
            <w:shd w:val="clear" w:color="auto" w:fill="auto"/>
            <w:noWrap/>
            <w:vAlign w:val="center"/>
            <w:hideMark/>
          </w:tcPr>
          <w:p w14:paraId="2EBE98F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w:t>
            </w:r>
          </w:p>
        </w:tc>
        <w:tc>
          <w:tcPr>
            <w:tcW w:w="356" w:type="pct"/>
            <w:tcBorders>
              <w:top w:val="nil"/>
              <w:left w:val="nil"/>
              <w:bottom w:val="single" w:sz="4" w:space="0" w:color="auto"/>
              <w:right w:val="single" w:sz="4" w:space="0" w:color="auto"/>
            </w:tcBorders>
            <w:shd w:val="clear" w:color="auto" w:fill="auto"/>
            <w:noWrap/>
            <w:vAlign w:val="center"/>
            <w:hideMark/>
          </w:tcPr>
          <w:p w14:paraId="60FECD1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95" w:type="pct"/>
            <w:tcBorders>
              <w:top w:val="nil"/>
              <w:left w:val="nil"/>
              <w:bottom w:val="single" w:sz="4" w:space="0" w:color="auto"/>
              <w:right w:val="single" w:sz="4" w:space="0" w:color="auto"/>
            </w:tcBorders>
            <w:shd w:val="clear" w:color="auto" w:fill="auto"/>
            <w:noWrap/>
            <w:vAlign w:val="center"/>
            <w:hideMark/>
          </w:tcPr>
          <w:p w14:paraId="2A0FB0C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15,1</w:t>
            </w:r>
          </w:p>
        </w:tc>
        <w:tc>
          <w:tcPr>
            <w:tcW w:w="395" w:type="pct"/>
            <w:tcBorders>
              <w:top w:val="nil"/>
              <w:left w:val="nil"/>
              <w:bottom w:val="single" w:sz="4" w:space="0" w:color="auto"/>
              <w:right w:val="single" w:sz="4" w:space="0" w:color="auto"/>
            </w:tcBorders>
            <w:shd w:val="clear" w:color="auto" w:fill="auto"/>
            <w:noWrap/>
            <w:vAlign w:val="center"/>
            <w:hideMark/>
          </w:tcPr>
          <w:p w14:paraId="36FD4A3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7,1</w:t>
            </w:r>
          </w:p>
        </w:tc>
        <w:tc>
          <w:tcPr>
            <w:tcW w:w="394" w:type="pct"/>
            <w:tcBorders>
              <w:top w:val="nil"/>
              <w:left w:val="nil"/>
              <w:bottom w:val="single" w:sz="4" w:space="0" w:color="auto"/>
              <w:right w:val="single" w:sz="4" w:space="0" w:color="auto"/>
            </w:tcBorders>
            <w:shd w:val="clear" w:color="auto" w:fill="auto"/>
            <w:noWrap/>
            <w:vAlign w:val="center"/>
            <w:hideMark/>
          </w:tcPr>
          <w:p w14:paraId="2E15C361"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11,0</w:t>
            </w:r>
          </w:p>
        </w:tc>
      </w:tr>
      <w:tr w:rsidR="00720CB2" w:rsidRPr="00450AA9" w14:paraId="089D5A7E" w14:textId="77777777" w:rsidTr="00A2509F">
        <w:trPr>
          <w:trHeight w:val="300"/>
        </w:trPr>
        <w:tc>
          <w:tcPr>
            <w:tcW w:w="1103" w:type="pct"/>
            <w:vMerge/>
            <w:tcBorders>
              <w:top w:val="nil"/>
              <w:left w:val="single" w:sz="4" w:space="0" w:color="auto"/>
              <w:bottom w:val="single" w:sz="4" w:space="0" w:color="000000"/>
              <w:right w:val="single" w:sz="4" w:space="0" w:color="auto"/>
            </w:tcBorders>
            <w:vAlign w:val="center"/>
            <w:hideMark/>
          </w:tcPr>
          <w:p w14:paraId="3E4F6AA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07BAEE2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56" w:type="pct"/>
            <w:tcBorders>
              <w:top w:val="nil"/>
              <w:left w:val="nil"/>
              <w:bottom w:val="single" w:sz="4" w:space="0" w:color="auto"/>
              <w:right w:val="single" w:sz="4" w:space="0" w:color="auto"/>
            </w:tcBorders>
            <w:shd w:val="clear" w:color="auto" w:fill="auto"/>
            <w:noWrap/>
            <w:vAlign w:val="center"/>
            <w:hideMark/>
          </w:tcPr>
          <w:p w14:paraId="294ECF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56" w:type="pct"/>
            <w:tcBorders>
              <w:top w:val="nil"/>
              <w:left w:val="nil"/>
              <w:bottom w:val="single" w:sz="4" w:space="0" w:color="auto"/>
              <w:right w:val="single" w:sz="4" w:space="0" w:color="auto"/>
            </w:tcBorders>
            <w:shd w:val="clear" w:color="auto" w:fill="auto"/>
            <w:noWrap/>
            <w:vAlign w:val="center"/>
            <w:hideMark/>
          </w:tcPr>
          <w:p w14:paraId="4F847E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28FF2D3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95" w:type="pct"/>
            <w:tcBorders>
              <w:top w:val="nil"/>
              <w:left w:val="nil"/>
              <w:bottom w:val="single" w:sz="4" w:space="0" w:color="auto"/>
              <w:right w:val="single" w:sz="4" w:space="0" w:color="auto"/>
            </w:tcBorders>
            <w:shd w:val="clear" w:color="auto" w:fill="auto"/>
            <w:noWrap/>
            <w:vAlign w:val="center"/>
            <w:hideMark/>
          </w:tcPr>
          <w:p w14:paraId="607784C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5,4</w:t>
            </w:r>
          </w:p>
        </w:tc>
        <w:tc>
          <w:tcPr>
            <w:tcW w:w="395" w:type="pct"/>
            <w:tcBorders>
              <w:top w:val="nil"/>
              <w:left w:val="nil"/>
              <w:bottom w:val="single" w:sz="4" w:space="0" w:color="auto"/>
              <w:right w:val="single" w:sz="4" w:space="0" w:color="auto"/>
            </w:tcBorders>
            <w:shd w:val="clear" w:color="auto" w:fill="auto"/>
            <w:noWrap/>
            <w:vAlign w:val="center"/>
            <w:hideMark/>
          </w:tcPr>
          <w:p w14:paraId="642DBDA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1,8</w:t>
            </w:r>
          </w:p>
        </w:tc>
        <w:tc>
          <w:tcPr>
            <w:tcW w:w="394" w:type="pct"/>
            <w:tcBorders>
              <w:top w:val="nil"/>
              <w:left w:val="nil"/>
              <w:bottom w:val="single" w:sz="4" w:space="0" w:color="auto"/>
              <w:right w:val="single" w:sz="4" w:space="0" w:color="auto"/>
            </w:tcBorders>
            <w:shd w:val="clear" w:color="auto" w:fill="auto"/>
            <w:noWrap/>
            <w:vAlign w:val="center"/>
            <w:hideMark/>
          </w:tcPr>
          <w:p w14:paraId="49D19712"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3,6</w:t>
            </w:r>
          </w:p>
        </w:tc>
      </w:tr>
      <w:tr w:rsidR="00720CB2" w:rsidRPr="00450AA9" w14:paraId="53990558"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17A55C2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Poppers</w:t>
            </w:r>
          </w:p>
        </w:tc>
        <w:tc>
          <w:tcPr>
            <w:tcW w:w="1646" w:type="pct"/>
            <w:tcBorders>
              <w:top w:val="nil"/>
              <w:left w:val="nil"/>
              <w:bottom w:val="single" w:sz="4" w:space="0" w:color="auto"/>
              <w:right w:val="single" w:sz="4" w:space="0" w:color="auto"/>
            </w:tcBorders>
            <w:shd w:val="clear" w:color="auto" w:fill="auto"/>
            <w:noWrap/>
            <w:vAlign w:val="center"/>
            <w:hideMark/>
          </w:tcPr>
          <w:p w14:paraId="3DCD2FD7"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03B1259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56" w:type="pct"/>
            <w:tcBorders>
              <w:top w:val="nil"/>
              <w:left w:val="nil"/>
              <w:bottom w:val="single" w:sz="4" w:space="0" w:color="auto"/>
              <w:right w:val="single" w:sz="4" w:space="0" w:color="auto"/>
            </w:tcBorders>
            <w:shd w:val="clear" w:color="auto" w:fill="auto"/>
            <w:noWrap/>
            <w:vAlign w:val="center"/>
            <w:hideMark/>
          </w:tcPr>
          <w:p w14:paraId="3DFD086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56" w:type="pct"/>
            <w:tcBorders>
              <w:top w:val="nil"/>
              <w:left w:val="nil"/>
              <w:bottom w:val="single" w:sz="4" w:space="0" w:color="auto"/>
              <w:right w:val="single" w:sz="4" w:space="0" w:color="auto"/>
            </w:tcBorders>
            <w:shd w:val="clear" w:color="auto" w:fill="auto"/>
            <w:noWrap/>
            <w:vAlign w:val="center"/>
            <w:hideMark/>
          </w:tcPr>
          <w:p w14:paraId="2F38F1E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w:t>
            </w:r>
          </w:p>
        </w:tc>
        <w:tc>
          <w:tcPr>
            <w:tcW w:w="395" w:type="pct"/>
            <w:tcBorders>
              <w:top w:val="nil"/>
              <w:left w:val="nil"/>
              <w:bottom w:val="single" w:sz="4" w:space="0" w:color="auto"/>
              <w:right w:val="single" w:sz="4" w:space="0" w:color="auto"/>
            </w:tcBorders>
            <w:shd w:val="clear" w:color="auto" w:fill="auto"/>
            <w:noWrap/>
            <w:vAlign w:val="center"/>
            <w:hideMark/>
          </w:tcPr>
          <w:p w14:paraId="36A4D62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11,7</w:t>
            </w:r>
          </w:p>
        </w:tc>
        <w:tc>
          <w:tcPr>
            <w:tcW w:w="395" w:type="pct"/>
            <w:tcBorders>
              <w:top w:val="nil"/>
              <w:left w:val="nil"/>
              <w:bottom w:val="single" w:sz="4" w:space="0" w:color="auto"/>
              <w:right w:val="single" w:sz="4" w:space="0" w:color="auto"/>
            </w:tcBorders>
            <w:shd w:val="clear" w:color="auto" w:fill="auto"/>
            <w:noWrap/>
            <w:vAlign w:val="center"/>
            <w:hideMark/>
          </w:tcPr>
          <w:p w14:paraId="6CB86896"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5,8</w:t>
            </w:r>
          </w:p>
        </w:tc>
        <w:tc>
          <w:tcPr>
            <w:tcW w:w="394" w:type="pct"/>
            <w:tcBorders>
              <w:top w:val="nil"/>
              <w:left w:val="nil"/>
              <w:bottom w:val="single" w:sz="4" w:space="0" w:color="auto"/>
              <w:right w:val="single" w:sz="4" w:space="0" w:color="auto"/>
            </w:tcBorders>
            <w:shd w:val="clear" w:color="auto" w:fill="auto"/>
            <w:noWrap/>
            <w:vAlign w:val="center"/>
            <w:hideMark/>
          </w:tcPr>
          <w:p w14:paraId="79913B33"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8,7</w:t>
            </w:r>
          </w:p>
        </w:tc>
      </w:tr>
      <w:tr w:rsidR="00720CB2" w:rsidRPr="00450AA9" w14:paraId="5F636973"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306ED78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Cocaïne</w:t>
            </w:r>
          </w:p>
        </w:tc>
        <w:tc>
          <w:tcPr>
            <w:tcW w:w="1646" w:type="pct"/>
            <w:tcBorders>
              <w:top w:val="nil"/>
              <w:left w:val="nil"/>
              <w:bottom w:val="single" w:sz="4" w:space="0" w:color="auto"/>
              <w:right w:val="single" w:sz="4" w:space="0" w:color="auto"/>
            </w:tcBorders>
            <w:shd w:val="clear" w:color="auto" w:fill="auto"/>
            <w:noWrap/>
            <w:vAlign w:val="center"/>
            <w:hideMark/>
          </w:tcPr>
          <w:p w14:paraId="274E8E90"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0BBFF93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7</w:t>
            </w:r>
          </w:p>
        </w:tc>
        <w:tc>
          <w:tcPr>
            <w:tcW w:w="356" w:type="pct"/>
            <w:tcBorders>
              <w:top w:val="nil"/>
              <w:left w:val="nil"/>
              <w:bottom w:val="single" w:sz="4" w:space="0" w:color="auto"/>
              <w:right w:val="single" w:sz="4" w:space="0" w:color="auto"/>
            </w:tcBorders>
            <w:shd w:val="clear" w:color="auto" w:fill="auto"/>
            <w:noWrap/>
            <w:vAlign w:val="center"/>
            <w:hideMark/>
          </w:tcPr>
          <w:p w14:paraId="5EC870B8"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4A99367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395" w:type="pct"/>
            <w:tcBorders>
              <w:top w:val="nil"/>
              <w:left w:val="nil"/>
              <w:bottom w:val="single" w:sz="4" w:space="0" w:color="auto"/>
              <w:right w:val="single" w:sz="4" w:space="0" w:color="auto"/>
            </w:tcBorders>
            <w:shd w:val="clear" w:color="auto" w:fill="auto"/>
            <w:noWrap/>
            <w:vAlign w:val="center"/>
            <w:hideMark/>
          </w:tcPr>
          <w:p w14:paraId="72CB0AC1"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8,0</w:t>
            </w:r>
          </w:p>
        </w:tc>
        <w:tc>
          <w:tcPr>
            <w:tcW w:w="395" w:type="pct"/>
            <w:tcBorders>
              <w:top w:val="nil"/>
              <w:left w:val="nil"/>
              <w:bottom w:val="single" w:sz="4" w:space="0" w:color="auto"/>
              <w:right w:val="single" w:sz="4" w:space="0" w:color="auto"/>
            </w:tcBorders>
            <w:shd w:val="clear" w:color="auto" w:fill="auto"/>
            <w:noWrap/>
            <w:vAlign w:val="center"/>
            <w:hideMark/>
          </w:tcPr>
          <w:p w14:paraId="72688FA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3,2</w:t>
            </w:r>
          </w:p>
        </w:tc>
        <w:tc>
          <w:tcPr>
            <w:tcW w:w="394" w:type="pct"/>
            <w:tcBorders>
              <w:top w:val="nil"/>
              <w:left w:val="nil"/>
              <w:bottom w:val="single" w:sz="4" w:space="0" w:color="auto"/>
              <w:right w:val="single" w:sz="4" w:space="0" w:color="auto"/>
            </w:tcBorders>
            <w:shd w:val="clear" w:color="auto" w:fill="auto"/>
            <w:noWrap/>
            <w:vAlign w:val="center"/>
            <w:hideMark/>
          </w:tcPr>
          <w:p w14:paraId="305C48D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5,6</w:t>
            </w:r>
          </w:p>
        </w:tc>
      </w:tr>
      <w:tr w:rsidR="00720CB2" w:rsidRPr="00450AA9" w14:paraId="55D88C9E"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03D13899"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MDMA/ecstasy</w:t>
            </w:r>
          </w:p>
        </w:tc>
        <w:tc>
          <w:tcPr>
            <w:tcW w:w="1646" w:type="pct"/>
            <w:tcBorders>
              <w:top w:val="nil"/>
              <w:left w:val="nil"/>
              <w:bottom w:val="single" w:sz="4" w:space="0" w:color="auto"/>
              <w:right w:val="single" w:sz="4" w:space="0" w:color="auto"/>
            </w:tcBorders>
            <w:shd w:val="clear" w:color="auto" w:fill="auto"/>
            <w:noWrap/>
            <w:vAlign w:val="center"/>
            <w:hideMark/>
          </w:tcPr>
          <w:p w14:paraId="0C74F49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7DD70DE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B050"/>
                <w:sz w:val="14"/>
                <w:szCs w:val="14"/>
              </w:rPr>
              <w:t>5*</w:t>
            </w:r>
          </w:p>
        </w:tc>
        <w:tc>
          <w:tcPr>
            <w:tcW w:w="356" w:type="pct"/>
            <w:tcBorders>
              <w:top w:val="nil"/>
              <w:left w:val="nil"/>
              <w:bottom w:val="single" w:sz="4" w:space="0" w:color="auto"/>
              <w:right w:val="single" w:sz="4" w:space="0" w:color="auto"/>
            </w:tcBorders>
            <w:shd w:val="clear" w:color="auto" w:fill="auto"/>
            <w:noWrap/>
            <w:vAlign w:val="center"/>
            <w:hideMark/>
          </w:tcPr>
          <w:p w14:paraId="3E3C5B3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2C8404C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95" w:type="pct"/>
            <w:tcBorders>
              <w:top w:val="nil"/>
              <w:left w:val="nil"/>
              <w:bottom w:val="single" w:sz="4" w:space="0" w:color="auto"/>
              <w:right w:val="single" w:sz="4" w:space="0" w:color="auto"/>
            </w:tcBorders>
            <w:shd w:val="clear" w:color="auto" w:fill="auto"/>
            <w:noWrap/>
            <w:vAlign w:val="center"/>
            <w:hideMark/>
          </w:tcPr>
          <w:p w14:paraId="5FB912AC"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7,3</w:t>
            </w:r>
          </w:p>
        </w:tc>
        <w:tc>
          <w:tcPr>
            <w:tcW w:w="395" w:type="pct"/>
            <w:tcBorders>
              <w:top w:val="nil"/>
              <w:left w:val="nil"/>
              <w:bottom w:val="single" w:sz="4" w:space="0" w:color="auto"/>
              <w:right w:val="single" w:sz="4" w:space="0" w:color="auto"/>
            </w:tcBorders>
            <w:shd w:val="clear" w:color="auto" w:fill="auto"/>
            <w:noWrap/>
            <w:vAlign w:val="center"/>
            <w:hideMark/>
          </w:tcPr>
          <w:p w14:paraId="5A0E476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2,7</w:t>
            </w:r>
          </w:p>
        </w:tc>
        <w:tc>
          <w:tcPr>
            <w:tcW w:w="394" w:type="pct"/>
            <w:tcBorders>
              <w:top w:val="nil"/>
              <w:left w:val="nil"/>
              <w:bottom w:val="single" w:sz="4" w:space="0" w:color="auto"/>
              <w:right w:val="single" w:sz="4" w:space="0" w:color="auto"/>
            </w:tcBorders>
            <w:shd w:val="clear" w:color="auto" w:fill="auto"/>
            <w:noWrap/>
            <w:vAlign w:val="center"/>
            <w:hideMark/>
          </w:tcPr>
          <w:p w14:paraId="70D5D1A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5,0</w:t>
            </w:r>
          </w:p>
        </w:tc>
      </w:tr>
      <w:tr w:rsidR="00720CB2" w:rsidRPr="00450AA9" w14:paraId="05EBEF32"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6F9775F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Champignons hallucinogènes</w:t>
            </w:r>
          </w:p>
        </w:tc>
        <w:tc>
          <w:tcPr>
            <w:tcW w:w="1646" w:type="pct"/>
            <w:tcBorders>
              <w:top w:val="nil"/>
              <w:left w:val="nil"/>
              <w:bottom w:val="single" w:sz="4" w:space="0" w:color="auto"/>
              <w:right w:val="single" w:sz="4" w:space="0" w:color="auto"/>
            </w:tcBorders>
            <w:shd w:val="clear" w:color="auto" w:fill="auto"/>
            <w:noWrap/>
            <w:vAlign w:val="center"/>
            <w:hideMark/>
          </w:tcPr>
          <w:p w14:paraId="20958C8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243BE970"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w:t>
            </w:r>
          </w:p>
        </w:tc>
        <w:tc>
          <w:tcPr>
            <w:tcW w:w="356" w:type="pct"/>
            <w:tcBorders>
              <w:top w:val="nil"/>
              <w:left w:val="nil"/>
              <w:bottom w:val="single" w:sz="4" w:space="0" w:color="auto"/>
              <w:right w:val="single" w:sz="4" w:space="0" w:color="auto"/>
            </w:tcBorders>
            <w:shd w:val="clear" w:color="auto" w:fill="auto"/>
            <w:noWrap/>
            <w:vAlign w:val="center"/>
            <w:hideMark/>
          </w:tcPr>
          <w:p w14:paraId="2977267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5B0C30B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395" w:type="pct"/>
            <w:tcBorders>
              <w:top w:val="nil"/>
              <w:left w:val="nil"/>
              <w:bottom w:val="single" w:sz="4" w:space="0" w:color="auto"/>
              <w:right w:val="single" w:sz="4" w:space="0" w:color="auto"/>
            </w:tcBorders>
            <w:shd w:val="clear" w:color="auto" w:fill="auto"/>
            <w:noWrap/>
            <w:vAlign w:val="center"/>
            <w:hideMark/>
          </w:tcPr>
          <w:p w14:paraId="7DB6F716"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8,0</w:t>
            </w:r>
          </w:p>
        </w:tc>
        <w:tc>
          <w:tcPr>
            <w:tcW w:w="395" w:type="pct"/>
            <w:tcBorders>
              <w:top w:val="nil"/>
              <w:left w:val="nil"/>
              <w:bottom w:val="single" w:sz="4" w:space="0" w:color="auto"/>
              <w:right w:val="single" w:sz="4" w:space="0" w:color="auto"/>
            </w:tcBorders>
            <w:shd w:val="clear" w:color="auto" w:fill="auto"/>
            <w:noWrap/>
            <w:vAlign w:val="center"/>
            <w:hideMark/>
          </w:tcPr>
          <w:p w14:paraId="6F31EFD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2,7</w:t>
            </w:r>
          </w:p>
        </w:tc>
        <w:tc>
          <w:tcPr>
            <w:tcW w:w="394" w:type="pct"/>
            <w:tcBorders>
              <w:top w:val="nil"/>
              <w:left w:val="nil"/>
              <w:bottom w:val="single" w:sz="4" w:space="0" w:color="auto"/>
              <w:right w:val="single" w:sz="4" w:space="0" w:color="auto"/>
            </w:tcBorders>
            <w:shd w:val="clear" w:color="auto" w:fill="auto"/>
            <w:noWrap/>
            <w:vAlign w:val="center"/>
            <w:hideMark/>
          </w:tcPr>
          <w:p w14:paraId="69CA0342"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5,3</w:t>
            </w:r>
          </w:p>
        </w:tc>
      </w:tr>
      <w:tr w:rsidR="00720CB2" w:rsidRPr="00450AA9" w14:paraId="38365571"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4743FA1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LSD</w:t>
            </w:r>
          </w:p>
        </w:tc>
        <w:tc>
          <w:tcPr>
            <w:tcW w:w="1646" w:type="pct"/>
            <w:tcBorders>
              <w:top w:val="nil"/>
              <w:left w:val="nil"/>
              <w:bottom w:val="single" w:sz="4" w:space="0" w:color="auto"/>
              <w:right w:val="single" w:sz="4" w:space="0" w:color="auto"/>
            </w:tcBorders>
            <w:shd w:val="clear" w:color="auto" w:fill="auto"/>
            <w:noWrap/>
            <w:vAlign w:val="center"/>
            <w:hideMark/>
          </w:tcPr>
          <w:p w14:paraId="15DD8B7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6F3CF30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1045463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4CA375A2"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95" w:type="pct"/>
            <w:tcBorders>
              <w:top w:val="nil"/>
              <w:left w:val="nil"/>
              <w:bottom w:val="single" w:sz="4" w:space="0" w:color="auto"/>
              <w:right w:val="single" w:sz="4" w:space="0" w:color="auto"/>
            </w:tcBorders>
            <w:shd w:val="clear" w:color="auto" w:fill="auto"/>
            <w:noWrap/>
            <w:vAlign w:val="center"/>
            <w:hideMark/>
          </w:tcPr>
          <w:p w14:paraId="35E4B6E5"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4,0</w:t>
            </w:r>
          </w:p>
        </w:tc>
        <w:tc>
          <w:tcPr>
            <w:tcW w:w="395" w:type="pct"/>
            <w:tcBorders>
              <w:top w:val="nil"/>
              <w:left w:val="nil"/>
              <w:bottom w:val="single" w:sz="4" w:space="0" w:color="auto"/>
              <w:right w:val="single" w:sz="4" w:space="0" w:color="auto"/>
            </w:tcBorders>
            <w:shd w:val="clear" w:color="auto" w:fill="auto"/>
            <w:noWrap/>
            <w:vAlign w:val="center"/>
            <w:hideMark/>
          </w:tcPr>
          <w:p w14:paraId="2249506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1,4</w:t>
            </w:r>
          </w:p>
        </w:tc>
        <w:tc>
          <w:tcPr>
            <w:tcW w:w="394" w:type="pct"/>
            <w:tcBorders>
              <w:top w:val="nil"/>
              <w:left w:val="nil"/>
              <w:bottom w:val="single" w:sz="4" w:space="0" w:color="auto"/>
              <w:right w:val="single" w:sz="4" w:space="0" w:color="auto"/>
            </w:tcBorders>
            <w:shd w:val="clear" w:color="auto" w:fill="auto"/>
            <w:noWrap/>
            <w:vAlign w:val="center"/>
            <w:hideMark/>
          </w:tcPr>
          <w:p w14:paraId="719D3CE7"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2,7</w:t>
            </w:r>
          </w:p>
        </w:tc>
      </w:tr>
      <w:tr w:rsidR="00720CB2" w:rsidRPr="00450AA9" w14:paraId="2B1CFCD5"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17789CB5"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Amphétamines</w:t>
            </w:r>
          </w:p>
        </w:tc>
        <w:tc>
          <w:tcPr>
            <w:tcW w:w="1646" w:type="pct"/>
            <w:tcBorders>
              <w:top w:val="nil"/>
              <w:left w:val="nil"/>
              <w:bottom w:val="single" w:sz="4" w:space="0" w:color="auto"/>
              <w:right w:val="single" w:sz="4" w:space="0" w:color="auto"/>
            </w:tcBorders>
            <w:shd w:val="clear" w:color="auto" w:fill="auto"/>
            <w:noWrap/>
            <w:vAlign w:val="center"/>
            <w:hideMark/>
          </w:tcPr>
          <w:p w14:paraId="0920784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3DB27822"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02B7895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561DACE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95" w:type="pct"/>
            <w:tcBorders>
              <w:top w:val="nil"/>
              <w:left w:val="nil"/>
              <w:bottom w:val="single" w:sz="4" w:space="0" w:color="auto"/>
              <w:right w:val="single" w:sz="4" w:space="0" w:color="auto"/>
            </w:tcBorders>
            <w:shd w:val="clear" w:color="auto" w:fill="auto"/>
            <w:noWrap/>
            <w:vAlign w:val="center"/>
            <w:hideMark/>
          </w:tcPr>
          <w:p w14:paraId="4B7EAD8D"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3,2</w:t>
            </w:r>
          </w:p>
        </w:tc>
        <w:tc>
          <w:tcPr>
            <w:tcW w:w="395" w:type="pct"/>
            <w:tcBorders>
              <w:top w:val="nil"/>
              <w:left w:val="nil"/>
              <w:bottom w:val="single" w:sz="4" w:space="0" w:color="auto"/>
              <w:right w:val="single" w:sz="4" w:space="0" w:color="auto"/>
            </w:tcBorders>
            <w:shd w:val="clear" w:color="auto" w:fill="auto"/>
            <w:noWrap/>
            <w:vAlign w:val="center"/>
            <w:hideMark/>
          </w:tcPr>
          <w:p w14:paraId="55D4DB54"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1,2</w:t>
            </w:r>
          </w:p>
        </w:tc>
        <w:tc>
          <w:tcPr>
            <w:tcW w:w="394" w:type="pct"/>
            <w:tcBorders>
              <w:top w:val="nil"/>
              <w:left w:val="nil"/>
              <w:bottom w:val="single" w:sz="4" w:space="0" w:color="auto"/>
              <w:right w:val="single" w:sz="4" w:space="0" w:color="auto"/>
            </w:tcBorders>
            <w:shd w:val="clear" w:color="auto" w:fill="auto"/>
            <w:noWrap/>
            <w:vAlign w:val="center"/>
            <w:hideMark/>
          </w:tcPr>
          <w:p w14:paraId="61EF0EF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2,2</w:t>
            </w:r>
          </w:p>
        </w:tc>
      </w:tr>
      <w:tr w:rsidR="00720CB2" w:rsidRPr="00450AA9" w14:paraId="68CDB970"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121C439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Héroïne</w:t>
            </w:r>
          </w:p>
        </w:tc>
        <w:tc>
          <w:tcPr>
            <w:tcW w:w="1646" w:type="pct"/>
            <w:tcBorders>
              <w:top w:val="nil"/>
              <w:left w:val="nil"/>
              <w:bottom w:val="single" w:sz="4" w:space="0" w:color="auto"/>
              <w:right w:val="single" w:sz="4" w:space="0" w:color="auto"/>
            </w:tcBorders>
            <w:shd w:val="clear" w:color="auto" w:fill="auto"/>
            <w:noWrap/>
            <w:vAlign w:val="center"/>
            <w:hideMark/>
          </w:tcPr>
          <w:p w14:paraId="61597A8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40BF61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56" w:type="pct"/>
            <w:tcBorders>
              <w:top w:val="nil"/>
              <w:left w:val="nil"/>
              <w:bottom w:val="single" w:sz="4" w:space="0" w:color="auto"/>
              <w:right w:val="single" w:sz="4" w:space="0" w:color="auto"/>
            </w:tcBorders>
            <w:shd w:val="clear" w:color="auto" w:fill="auto"/>
            <w:noWrap/>
            <w:vAlign w:val="center"/>
            <w:hideMark/>
          </w:tcPr>
          <w:p w14:paraId="09158CCB"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1AC70843"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95" w:type="pct"/>
            <w:tcBorders>
              <w:top w:val="nil"/>
              <w:left w:val="nil"/>
              <w:bottom w:val="single" w:sz="4" w:space="0" w:color="auto"/>
              <w:right w:val="single" w:sz="4" w:space="0" w:color="auto"/>
            </w:tcBorders>
            <w:shd w:val="clear" w:color="auto" w:fill="auto"/>
            <w:noWrap/>
            <w:vAlign w:val="center"/>
            <w:hideMark/>
          </w:tcPr>
          <w:p w14:paraId="6094B4E0"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2,1</w:t>
            </w:r>
          </w:p>
        </w:tc>
        <w:tc>
          <w:tcPr>
            <w:tcW w:w="395" w:type="pct"/>
            <w:tcBorders>
              <w:top w:val="nil"/>
              <w:left w:val="nil"/>
              <w:bottom w:val="single" w:sz="4" w:space="0" w:color="auto"/>
              <w:right w:val="single" w:sz="4" w:space="0" w:color="auto"/>
            </w:tcBorders>
            <w:shd w:val="clear" w:color="auto" w:fill="auto"/>
            <w:noWrap/>
            <w:vAlign w:val="center"/>
            <w:hideMark/>
          </w:tcPr>
          <w:p w14:paraId="43EBDA9A"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0,5</w:t>
            </w:r>
          </w:p>
        </w:tc>
        <w:tc>
          <w:tcPr>
            <w:tcW w:w="394" w:type="pct"/>
            <w:tcBorders>
              <w:top w:val="nil"/>
              <w:left w:val="nil"/>
              <w:bottom w:val="single" w:sz="4" w:space="0" w:color="auto"/>
              <w:right w:val="single" w:sz="4" w:space="0" w:color="auto"/>
            </w:tcBorders>
            <w:shd w:val="clear" w:color="auto" w:fill="auto"/>
            <w:noWrap/>
            <w:vAlign w:val="center"/>
            <w:hideMark/>
          </w:tcPr>
          <w:p w14:paraId="4A2E2EFF"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1,3</w:t>
            </w:r>
          </w:p>
        </w:tc>
      </w:tr>
      <w:tr w:rsidR="00720CB2" w:rsidRPr="00450AA9" w14:paraId="35C9B387" w14:textId="77777777" w:rsidTr="00A2509F">
        <w:trPr>
          <w:trHeight w:val="300"/>
        </w:trPr>
        <w:tc>
          <w:tcPr>
            <w:tcW w:w="1103" w:type="pct"/>
            <w:tcBorders>
              <w:top w:val="nil"/>
              <w:left w:val="single" w:sz="4" w:space="0" w:color="auto"/>
              <w:bottom w:val="single" w:sz="4" w:space="0" w:color="auto"/>
              <w:right w:val="single" w:sz="4" w:space="0" w:color="auto"/>
            </w:tcBorders>
            <w:shd w:val="clear" w:color="auto" w:fill="auto"/>
            <w:noWrap/>
            <w:vAlign w:val="center"/>
            <w:hideMark/>
          </w:tcPr>
          <w:p w14:paraId="374FDE7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Crack</w:t>
            </w:r>
          </w:p>
        </w:tc>
        <w:tc>
          <w:tcPr>
            <w:tcW w:w="1646" w:type="pct"/>
            <w:tcBorders>
              <w:top w:val="nil"/>
              <w:left w:val="nil"/>
              <w:bottom w:val="single" w:sz="4" w:space="0" w:color="auto"/>
              <w:right w:val="single" w:sz="4" w:space="0" w:color="auto"/>
            </w:tcBorders>
            <w:shd w:val="clear" w:color="auto" w:fill="auto"/>
            <w:noWrap/>
            <w:vAlign w:val="center"/>
            <w:hideMark/>
          </w:tcPr>
          <w:p w14:paraId="0E177BB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35F0E8B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761C0C17" w14:textId="77777777" w:rsidR="00720CB2" w:rsidRPr="00720CB2" w:rsidRDefault="00720CB2" w:rsidP="00720CB2">
            <w:pPr>
              <w:spacing w:after="0"/>
              <w:jc w:val="center"/>
              <w:rPr>
                <w:rFonts w:ascii="Calibri" w:hAnsi="Calibri"/>
                <w:color w:val="000000"/>
                <w:sz w:val="14"/>
                <w:szCs w:val="14"/>
              </w:rPr>
            </w:pPr>
            <w:r>
              <w:rPr>
                <w:rFonts w:ascii="Calibri" w:hAnsi="Calibri"/>
                <w:color w:val="000000"/>
                <w:sz w:val="14"/>
                <w:szCs w:val="14"/>
              </w:rPr>
              <w:t>&lt;0,5</w:t>
            </w:r>
          </w:p>
        </w:tc>
        <w:tc>
          <w:tcPr>
            <w:tcW w:w="356" w:type="pct"/>
            <w:tcBorders>
              <w:top w:val="nil"/>
              <w:left w:val="nil"/>
              <w:bottom w:val="single" w:sz="4" w:space="0" w:color="auto"/>
              <w:right w:val="single" w:sz="4" w:space="0" w:color="auto"/>
            </w:tcBorders>
            <w:shd w:val="clear" w:color="auto" w:fill="auto"/>
            <w:noWrap/>
            <w:vAlign w:val="center"/>
            <w:hideMark/>
          </w:tcPr>
          <w:p w14:paraId="2D08D23B" w14:textId="77777777" w:rsidR="00720CB2" w:rsidRPr="00720CB2" w:rsidRDefault="00720CB2" w:rsidP="00720CB2">
            <w:pPr>
              <w:spacing w:after="0"/>
              <w:jc w:val="center"/>
              <w:rPr>
                <w:rFonts w:ascii="Calibri" w:hAnsi="Calibri"/>
                <w:color w:val="000000"/>
                <w:sz w:val="14"/>
                <w:szCs w:val="14"/>
              </w:rPr>
            </w:pPr>
            <w:r>
              <w:rPr>
                <w:rFonts w:ascii="Calibri" w:hAnsi="Calibri"/>
                <w:color w:val="000000"/>
                <w:sz w:val="14"/>
                <w:szCs w:val="14"/>
              </w:rPr>
              <w:t>&lt;0,5</w:t>
            </w:r>
          </w:p>
        </w:tc>
        <w:tc>
          <w:tcPr>
            <w:tcW w:w="395" w:type="pct"/>
            <w:tcBorders>
              <w:top w:val="nil"/>
              <w:left w:val="nil"/>
              <w:bottom w:val="single" w:sz="4" w:space="0" w:color="auto"/>
              <w:right w:val="single" w:sz="4" w:space="0" w:color="auto"/>
            </w:tcBorders>
            <w:shd w:val="clear" w:color="auto" w:fill="auto"/>
            <w:noWrap/>
            <w:vAlign w:val="center"/>
            <w:hideMark/>
          </w:tcPr>
          <w:p w14:paraId="4675EF49"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1,1</w:t>
            </w:r>
          </w:p>
        </w:tc>
        <w:tc>
          <w:tcPr>
            <w:tcW w:w="395" w:type="pct"/>
            <w:tcBorders>
              <w:top w:val="nil"/>
              <w:left w:val="nil"/>
              <w:bottom w:val="single" w:sz="4" w:space="0" w:color="auto"/>
              <w:right w:val="single" w:sz="4" w:space="0" w:color="auto"/>
            </w:tcBorders>
            <w:shd w:val="clear" w:color="auto" w:fill="auto"/>
            <w:noWrap/>
            <w:vAlign w:val="center"/>
            <w:hideMark/>
          </w:tcPr>
          <w:p w14:paraId="356992CB"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0,3</w:t>
            </w:r>
          </w:p>
        </w:tc>
        <w:tc>
          <w:tcPr>
            <w:tcW w:w="394" w:type="pct"/>
            <w:tcBorders>
              <w:top w:val="nil"/>
              <w:left w:val="nil"/>
              <w:bottom w:val="single" w:sz="4" w:space="0" w:color="auto"/>
              <w:right w:val="single" w:sz="4" w:space="0" w:color="auto"/>
            </w:tcBorders>
            <w:shd w:val="clear" w:color="auto" w:fill="auto"/>
            <w:noWrap/>
            <w:vAlign w:val="center"/>
            <w:hideMark/>
          </w:tcPr>
          <w:p w14:paraId="2E315654" w14:textId="77777777" w:rsidR="00720CB2" w:rsidRPr="00D34329" w:rsidRDefault="00720CB2" w:rsidP="00720CB2">
            <w:pPr>
              <w:spacing w:after="0"/>
              <w:jc w:val="center"/>
              <w:rPr>
                <w:rFonts w:ascii="Calibri" w:hAnsi="Calibri"/>
                <w:color w:val="000000"/>
                <w:sz w:val="14"/>
                <w:szCs w:val="14"/>
              </w:rPr>
            </w:pPr>
            <w:r w:rsidRPr="00D34329">
              <w:rPr>
                <w:rFonts w:ascii="Calibri" w:hAnsi="Calibri"/>
                <w:color w:val="000000"/>
                <w:sz w:val="14"/>
                <w:szCs w:val="14"/>
              </w:rPr>
              <w:t>0,7</w:t>
            </w:r>
          </w:p>
        </w:tc>
      </w:tr>
    </w:tbl>
    <w:p w14:paraId="15F901CF" w14:textId="433B8342" w:rsidR="00AB57B2" w:rsidRPr="008361EB" w:rsidRDefault="00A2509F" w:rsidP="00AB57B2">
      <w:pPr>
        <w:pStyle w:val="Sous-titre"/>
      </w:pPr>
      <w:r w:rsidRPr="008361EB">
        <w:t xml:space="preserve">Source : </w:t>
      </w:r>
      <w:r w:rsidRPr="001F0187">
        <w:t>Baromètre de Santé publique France 2017</w:t>
      </w:r>
    </w:p>
    <w:p w14:paraId="3EE1B40B" w14:textId="77777777" w:rsidR="00664412" w:rsidRDefault="00664412" w:rsidP="001811D6">
      <w:pPr>
        <w:spacing w:before="5" w:after="0" w:line="242" w:lineRule="auto"/>
        <w:ind w:right="-142"/>
        <w:rPr>
          <w:rFonts w:ascii="Eurocrat" w:hAnsi="Eurocrat"/>
          <w:color w:val="4A4948"/>
          <w:sz w:val="14"/>
          <w:szCs w:val="14"/>
        </w:rPr>
      </w:pPr>
      <w:r>
        <w:rPr>
          <w:rFonts w:ascii="Eurocrat" w:hAnsi="Eurocrat"/>
          <w:color w:val="4A4948"/>
          <w:sz w:val="14"/>
          <w:szCs w:val="14"/>
        </w:rPr>
        <w:t>Note : Les prévalences régionales sont arrondies à l’unité près pour des raisons d’effectif.</w:t>
      </w:r>
    </w:p>
    <w:p w14:paraId="4FE7595E" w14:textId="745DA86D" w:rsidR="00AB57B2" w:rsidRDefault="00AB57B2" w:rsidP="001811D6">
      <w:pPr>
        <w:spacing w:before="5" w:line="242" w:lineRule="auto"/>
        <w:ind w:right="-142"/>
        <w:rPr>
          <w:rFonts w:ascii="Eurocrat" w:hAnsi="Eurocrat"/>
          <w:color w:val="4A4948"/>
          <w:sz w:val="14"/>
          <w:szCs w:val="14"/>
        </w:rPr>
      </w:pPr>
      <w:r>
        <w:rPr>
          <w:rFonts w:ascii="Eurocrat" w:hAnsi="Eurocrat"/>
          <w:color w:val="4A4948"/>
          <w:sz w:val="14"/>
          <w:szCs w:val="14"/>
        </w:rPr>
        <w:t xml:space="preserve">Note de lecture : </w:t>
      </w:r>
      <w:r w:rsidR="00720CB2">
        <w:rPr>
          <w:rFonts w:ascii="Eurocrat" w:hAnsi="Eurocrat"/>
          <w:color w:val="00B050"/>
          <w:sz w:val="14"/>
          <w:szCs w:val="14"/>
        </w:rPr>
        <w:t>5*</w:t>
      </w:r>
      <w:r>
        <w:rPr>
          <w:rFonts w:ascii="Eurocrat" w:hAnsi="Eurocrat"/>
          <w:color w:val="00B050"/>
          <w:sz w:val="14"/>
          <w:szCs w:val="14"/>
        </w:rPr>
        <w:t xml:space="preserve"> </w:t>
      </w:r>
      <w:r w:rsidRPr="000F609D">
        <w:rPr>
          <w:rFonts w:ascii="Eurocrat" w:hAnsi="Eurocrat"/>
          <w:sz w:val="14"/>
          <w:szCs w:val="14"/>
        </w:rPr>
        <w:t>s</w:t>
      </w:r>
      <w:r>
        <w:rPr>
          <w:rFonts w:ascii="Eurocrat" w:hAnsi="Eurocrat"/>
          <w:color w:val="4A4948"/>
          <w:sz w:val="14"/>
          <w:szCs w:val="14"/>
        </w:rPr>
        <w:t xml:space="preserve">ignifie que </w:t>
      </w:r>
      <w:r w:rsidR="00720CB2">
        <w:rPr>
          <w:rFonts w:ascii="Eurocrat" w:hAnsi="Eurocrat"/>
          <w:color w:val="4A4948"/>
          <w:sz w:val="14"/>
          <w:szCs w:val="14"/>
        </w:rPr>
        <w:t>le niveau d’expérimentation de la MDMA des hommes</w:t>
      </w:r>
      <w:r>
        <w:rPr>
          <w:rFonts w:ascii="Eurocrat" w:hAnsi="Eurocrat"/>
          <w:color w:val="4A4948"/>
          <w:sz w:val="14"/>
          <w:szCs w:val="14"/>
        </w:rPr>
        <w:t xml:space="preserve"> </w:t>
      </w:r>
      <w:r w:rsidR="003616CE">
        <w:rPr>
          <w:rFonts w:ascii="Eurocrat" w:hAnsi="Eurocrat"/>
          <w:color w:val="4A4948"/>
          <w:sz w:val="14"/>
          <w:szCs w:val="14"/>
        </w:rPr>
        <w:t xml:space="preserve">de la région </w:t>
      </w:r>
      <w:r>
        <w:rPr>
          <w:rFonts w:ascii="Eurocrat" w:hAnsi="Eurocrat"/>
          <w:color w:val="4A4948"/>
          <w:sz w:val="14"/>
          <w:szCs w:val="14"/>
        </w:rPr>
        <w:t xml:space="preserve">est </w:t>
      </w:r>
      <w:r w:rsidR="00720CB2">
        <w:rPr>
          <w:rFonts w:ascii="Eurocrat" w:hAnsi="Eurocrat"/>
          <w:color w:val="4A4948"/>
          <w:sz w:val="14"/>
          <w:szCs w:val="14"/>
        </w:rPr>
        <w:t>inférieur</w:t>
      </w:r>
      <w:r>
        <w:rPr>
          <w:rFonts w:ascii="Eurocrat" w:hAnsi="Eurocrat"/>
          <w:color w:val="4A4948"/>
          <w:sz w:val="14"/>
          <w:szCs w:val="14"/>
        </w:rPr>
        <w:t xml:space="preserve"> </w:t>
      </w:r>
      <w:r w:rsidR="001811D6">
        <w:rPr>
          <w:rFonts w:ascii="Eurocrat" w:hAnsi="Eurocrat"/>
          <w:color w:val="4A4948"/>
          <w:sz w:val="14"/>
          <w:szCs w:val="14"/>
        </w:rPr>
        <w:t xml:space="preserve">(test de Chi2 au seuil 0,05) </w:t>
      </w:r>
      <w:r>
        <w:rPr>
          <w:rFonts w:ascii="Eurocrat" w:hAnsi="Eurocrat"/>
          <w:color w:val="4A4948"/>
          <w:sz w:val="14"/>
          <w:szCs w:val="14"/>
        </w:rPr>
        <w:t>à celui de leurs homologues du reste de la France.</w:t>
      </w:r>
    </w:p>
    <w:p w14:paraId="795C5073" w14:textId="3D1EA496" w:rsidR="00AB57B2" w:rsidRPr="00A724E9" w:rsidRDefault="00AB57B2" w:rsidP="00AB57B2">
      <w:pPr>
        <w:pStyle w:val="Titre2"/>
        <w:spacing w:after="120"/>
      </w:pPr>
      <w:r w:rsidRPr="00A724E9">
        <w:t xml:space="preserve">Évolution des usages quotidiens de tabac et des usages réguliers d’alcool et de cannabis </w:t>
      </w:r>
      <w:r w:rsidR="00EB1D58" w:rsidRPr="00A724E9">
        <w:t xml:space="preserve">à </w:t>
      </w:r>
      <w:r w:rsidR="00EB1D58">
        <w:t>l’âge adulte</w:t>
      </w:r>
      <w:r w:rsidRPr="00A724E9">
        <w:t xml:space="preserve"> dans la région </w:t>
      </w:r>
      <w:r w:rsidR="00720CB2">
        <w:t>Auvergne-Rhône-Alpes</w:t>
      </w:r>
      <w:r w:rsidRPr="00A724E9">
        <w:t xml:space="preserve"> et en France métropolitaine entre 2005 et 2017 (%)</w:t>
      </w:r>
    </w:p>
    <w:p w14:paraId="65873BCB" w14:textId="77777777" w:rsidR="00AB57B2" w:rsidRDefault="00720CB2" w:rsidP="00AB57B2">
      <w:pPr>
        <w:tabs>
          <w:tab w:val="left" w:pos="2459"/>
        </w:tabs>
        <w:rPr>
          <w:b/>
          <w:color w:val="000000" w:themeColor="text1"/>
          <w:sz w:val="18"/>
        </w:rPr>
      </w:pPr>
      <w:r w:rsidRPr="00720CB2">
        <w:rPr>
          <w:noProof/>
          <w:lang w:eastAsia="fr-FR"/>
        </w:rPr>
        <w:drawing>
          <wp:inline distT="0" distB="0" distL="0" distR="0" wp14:anchorId="04B04010" wp14:editId="7896559D">
            <wp:extent cx="5413472" cy="2662968"/>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7492" cy="2664945"/>
                    </a:xfrm>
                    <a:prstGeom prst="rect">
                      <a:avLst/>
                    </a:prstGeom>
                    <a:noFill/>
                    <a:ln>
                      <a:noFill/>
                    </a:ln>
                  </pic:spPr>
                </pic:pic>
              </a:graphicData>
            </a:graphic>
          </wp:inline>
        </w:drawing>
      </w:r>
    </w:p>
    <w:p w14:paraId="100DC9DE" w14:textId="77777777" w:rsidR="00AB57B2" w:rsidRDefault="00AB57B2" w:rsidP="00AB57B2">
      <w:pPr>
        <w:pStyle w:val="Sous-titre"/>
      </w:pPr>
      <w:r w:rsidRPr="00450AA9">
        <w:t xml:space="preserve">Sources : </w:t>
      </w:r>
      <w:r>
        <w:t>Baromètre Santé 2005, 2010, 2014, 2017, SPF</w:t>
      </w:r>
    </w:p>
    <w:p w14:paraId="7C060B6F" w14:textId="77777777" w:rsidR="00F21E1B" w:rsidRPr="00AB57B2" w:rsidRDefault="001A385F" w:rsidP="00F616B9">
      <w:pPr>
        <w:jc w:val="both"/>
        <w:rPr>
          <w:rFonts w:asciiTheme="majorHAnsi" w:hAnsiTheme="majorHAnsi"/>
          <w:b/>
          <w:sz w:val="24"/>
          <w:szCs w:val="24"/>
        </w:rPr>
      </w:pPr>
      <w:r w:rsidRPr="00AB57B2">
        <w:rPr>
          <w:rFonts w:asciiTheme="majorHAnsi" w:hAnsiTheme="majorHAnsi"/>
          <w:b/>
          <w:color w:val="767171" w:themeColor="background2" w:themeShade="80"/>
          <w:sz w:val="24"/>
          <w:szCs w:val="24"/>
        </w:rPr>
        <w:lastRenderedPageBreak/>
        <w:t>Usages de produits psychoactifs à 17 ans en 2017</w:t>
      </w:r>
      <w:r w:rsidR="00867DB9">
        <w:rPr>
          <w:rFonts w:asciiTheme="majorHAnsi" w:hAnsiTheme="majorHAnsi"/>
          <w:b/>
          <w:color w:val="767171" w:themeColor="background2" w:themeShade="80"/>
          <w:sz w:val="24"/>
          <w:szCs w:val="24"/>
        </w:rPr>
        <w:t xml:space="preserve"> dans la région </w:t>
      </w:r>
      <w:r w:rsidR="00720CB2">
        <w:rPr>
          <w:rFonts w:asciiTheme="majorHAnsi" w:hAnsiTheme="majorHAnsi"/>
          <w:b/>
          <w:color w:val="767171" w:themeColor="background2" w:themeShade="80"/>
          <w:sz w:val="24"/>
          <w:szCs w:val="24"/>
        </w:rPr>
        <w:t>Auvergne-Rhône-Alpes</w:t>
      </w:r>
      <w:r w:rsidR="00450AA9" w:rsidRPr="00AB57B2">
        <w:rPr>
          <w:rFonts w:asciiTheme="majorHAnsi" w:hAnsiTheme="majorHAnsi"/>
          <w:b/>
          <w:color w:val="767171" w:themeColor="background2" w:themeShade="80"/>
          <w:sz w:val="24"/>
          <w:szCs w:val="24"/>
        </w:rPr>
        <w:t xml:space="preserve"> et en France métropolitaine (%)</w:t>
      </w:r>
    </w:p>
    <w:tbl>
      <w:tblPr>
        <w:tblW w:w="5088" w:type="pct"/>
        <w:tblCellMar>
          <w:left w:w="70" w:type="dxa"/>
          <w:right w:w="70" w:type="dxa"/>
        </w:tblCellMar>
        <w:tblLook w:val="04A0" w:firstRow="1" w:lastRow="0" w:firstColumn="1" w:lastColumn="0" w:noHBand="0" w:noVBand="1"/>
      </w:tblPr>
      <w:tblGrid>
        <w:gridCol w:w="2079"/>
        <w:gridCol w:w="3075"/>
        <w:gridCol w:w="751"/>
        <w:gridCol w:w="751"/>
        <w:gridCol w:w="751"/>
        <w:gridCol w:w="834"/>
        <w:gridCol w:w="834"/>
        <w:gridCol w:w="832"/>
      </w:tblGrid>
      <w:tr w:rsidR="00F6482C" w:rsidRPr="00450AA9" w14:paraId="5E56EF31" w14:textId="77777777" w:rsidTr="00720CB2">
        <w:trPr>
          <w:trHeight w:val="300"/>
        </w:trPr>
        <w:tc>
          <w:tcPr>
            <w:tcW w:w="2601" w:type="pct"/>
            <w:gridSpan w:val="2"/>
            <w:vMerge w:val="restart"/>
            <w:tcBorders>
              <w:top w:val="single" w:sz="4" w:space="0" w:color="auto"/>
              <w:left w:val="single" w:sz="4" w:space="0" w:color="auto"/>
              <w:bottom w:val="single" w:sz="4" w:space="0" w:color="000000"/>
              <w:right w:val="single" w:sz="4" w:space="0" w:color="000000"/>
            </w:tcBorders>
            <w:shd w:val="clear" w:color="auto" w:fill="D5D5CB"/>
            <w:noWrap/>
            <w:vAlign w:val="center"/>
            <w:hideMark/>
          </w:tcPr>
          <w:p w14:paraId="0EF18D99" w14:textId="77777777" w:rsidR="00F6482C" w:rsidRPr="00450AA9" w:rsidRDefault="00F6482C" w:rsidP="00720CB2">
            <w:pPr>
              <w:spacing w:after="0" w:line="240" w:lineRule="auto"/>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 </w:t>
            </w:r>
          </w:p>
        </w:tc>
        <w:tc>
          <w:tcPr>
            <w:tcW w:w="1137" w:type="pct"/>
            <w:gridSpan w:val="3"/>
            <w:tcBorders>
              <w:top w:val="single" w:sz="4" w:space="0" w:color="auto"/>
              <w:left w:val="nil"/>
              <w:bottom w:val="single" w:sz="4" w:space="0" w:color="auto"/>
              <w:right w:val="single" w:sz="4" w:space="0" w:color="auto"/>
            </w:tcBorders>
            <w:shd w:val="clear" w:color="auto" w:fill="D5D5CB"/>
            <w:vAlign w:val="center"/>
            <w:hideMark/>
          </w:tcPr>
          <w:p w14:paraId="63D1EC30" w14:textId="77777777" w:rsidR="00F6482C" w:rsidRPr="00533B1C" w:rsidRDefault="00F6482C"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Région </w:t>
            </w:r>
            <w:r w:rsidR="00720CB2">
              <w:rPr>
                <w:rFonts w:ascii="Calibri" w:eastAsia="Times New Roman" w:hAnsi="Calibri" w:cs="Times New Roman"/>
                <w:b/>
                <w:bCs/>
                <w:color w:val="000000"/>
                <w:sz w:val="20"/>
                <w:szCs w:val="20"/>
                <w:lang w:eastAsia="fr-FR"/>
              </w:rPr>
              <w:t>ARA</w:t>
            </w:r>
          </w:p>
        </w:tc>
        <w:tc>
          <w:tcPr>
            <w:tcW w:w="1262" w:type="pct"/>
            <w:gridSpan w:val="3"/>
            <w:tcBorders>
              <w:top w:val="single" w:sz="4" w:space="0" w:color="auto"/>
              <w:left w:val="nil"/>
              <w:bottom w:val="single" w:sz="4" w:space="0" w:color="auto"/>
              <w:right w:val="single" w:sz="4" w:space="0" w:color="auto"/>
            </w:tcBorders>
            <w:shd w:val="clear" w:color="auto" w:fill="D5D5CB"/>
            <w:vAlign w:val="center"/>
            <w:hideMark/>
          </w:tcPr>
          <w:p w14:paraId="075EE3D4" w14:textId="77777777" w:rsidR="00F6482C" w:rsidRPr="00533B1C" w:rsidRDefault="00F6482C"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France métropolitaine</w:t>
            </w:r>
          </w:p>
        </w:tc>
      </w:tr>
      <w:tr w:rsidR="00F6482C" w:rsidRPr="00450AA9" w14:paraId="34A849CD" w14:textId="77777777" w:rsidTr="00720CB2">
        <w:trPr>
          <w:trHeight w:val="540"/>
        </w:trPr>
        <w:tc>
          <w:tcPr>
            <w:tcW w:w="2601" w:type="pct"/>
            <w:gridSpan w:val="2"/>
            <w:vMerge/>
            <w:tcBorders>
              <w:top w:val="single" w:sz="4" w:space="0" w:color="auto"/>
              <w:left w:val="single" w:sz="4" w:space="0" w:color="auto"/>
              <w:bottom w:val="single" w:sz="4" w:space="0" w:color="000000"/>
              <w:right w:val="single" w:sz="4" w:space="0" w:color="000000"/>
            </w:tcBorders>
            <w:shd w:val="clear" w:color="auto" w:fill="D5D5CB"/>
            <w:vAlign w:val="center"/>
            <w:hideMark/>
          </w:tcPr>
          <w:p w14:paraId="482306F6" w14:textId="77777777" w:rsidR="00F6482C" w:rsidRPr="00450AA9" w:rsidRDefault="00F6482C" w:rsidP="00720CB2">
            <w:pPr>
              <w:spacing w:after="0" w:line="240" w:lineRule="auto"/>
              <w:rPr>
                <w:rFonts w:ascii="Calibri" w:eastAsia="Times New Roman" w:hAnsi="Calibri" w:cs="Times New Roman"/>
                <w:b/>
                <w:bCs/>
                <w:color w:val="000000"/>
                <w:sz w:val="14"/>
                <w:szCs w:val="14"/>
                <w:lang w:eastAsia="fr-FR"/>
              </w:rPr>
            </w:pPr>
          </w:p>
        </w:tc>
        <w:tc>
          <w:tcPr>
            <w:tcW w:w="379" w:type="pct"/>
            <w:tcBorders>
              <w:top w:val="nil"/>
              <w:left w:val="nil"/>
              <w:bottom w:val="single" w:sz="4" w:space="0" w:color="auto"/>
              <w:right w:val="single" w:sz="4" w:space="0" w:color="auto"/>
            </w:tcBorders>
            <w:shd w:val="clear" w:color="auto" w:fill="D5D5CB"/>
            <w:vAlign w:val="center"/>
            <w:hideMark/>
          </w:tcPr>
          <w:p w14:paraId="02CEF53F" w14:textId="4F7CD117"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2382</w:t>
            </w:r>
            <w:r w:rsidRPr="00450AA9">
              <w:rPr>
                <w:rFonts w:ascii="Calibri" w:eastAsia="Times New Roman" w:hAnsi="Calibri" w:cs="Times New Roman"/>
                <w:b/>
                <w:bCs/>
                <w:color w:val="000000"/>
                <w:sz w:val="14"/>
                <w:szCs w:val="14"/>
                <w:lang w:eastAsia="fr-FR"/>
              </w:rPr>
              <w:t>)</w:t>
            </w:r>
          </w:p>
        </w:tc>
        <w:tc>
          <w:tcPr>
            <w:tcW w:w="379" w:type="pct"/>
            <w:tcBorders>
              <w:top w:val="nil"/>
              <w:left w:val="nil"/>
              <w:bottom w:val="single" w:sz="4" w:space="0" w:color="auto"/>
              <w:right w:val="single" w:sz="4" w:space="0" w:color="auto"/>
            </w:tcBorders>
            <w:shd w:val="clear" w:color="auto" w:fill="D5D5CB"/>
            <w:vAlign w:val="center"/>
            <w:hideMark/>
          </w:tcPr>
          <w:p w14:paraId="58A31840" w14:textId="4A610572"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00EB1D58">
              <w:rPr>
                <w:rFonts w:ascii="Calibri" w:eastAsia="Times New Roman" w:hAnsi="Calibri" w:cs="Times New Roman"/>
                <w:b/>
                <w:bCs/>
                <w:color w:val="000000"/>
                <w:sz w:val="14"/>
                <w:szCs w:val="14"/>
                <w:lang w:eastAsia="fr-FR"/>
              </w:rPr>
              <w:br/>
              <w:t>(n=2357</w:t>
            </w:r>
            <w:r w:rsidRPr="00450AA9">
              <w:rPr>
                <w:rFonts w:ascii="Calibri" w:eastAsia="Times New Roman" w:hAnsi="Calibri" w:cs="Times New Roman"/>
                <w:b/>
                <w:bCs/>
                <w:color w:val="000000"/>
                <w:sz w:val="14"/>
                <w:szCs w:val="14"/>
                <w:lang w:eastAsia="fr-FR"/>
              </w:rPr>
              <w:t>)</w:t>
            </w:r>
          </w:p>
        </w:tc>
        <w:tc>
          <w:tcPr>
            <w:tcW w:w="379" w:type="pct"/>
            <w:tcBorders>
              <w:top w:val="nil"/>
              <w:left w:val="nil"/>
              <w:bottom w:val="single" w:sz="4" w:space="0" w:color="auto"/>
              <w:right w:val="single" w:sz="4" w:space="0" w:color="auto"/>
            </w:tcBorders>
            <w:shd w:val="clear" w:color="auto" w:fill="D5D5CB"/>
            <w:vAlign w:val="center"/>
            <w:hideMark/>
          </w:tcPr>
          <w:p w14:paraId="03E62918" w14:textId="047F7017"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w:t>
            </w:r>
            <w:r w:rsidR="00EB1D58">
              <w:rPr>
                <w:rFonts w:ascii="Calibri" w:eastAsia="Times New Roman" w:hAnsi="Calibri" w:cs="Times New Roman"/>
                <w:b/>
                <w:bCs/>
                <w:color w:val="000000"/>
                <w:sz w:val="14"/>
                <w:szCs w:val="14"/>
                <w:lang w:eastAsia="fr-FR"/>
              </w:rPr>
              <w:t>4739</w:t>
            </w:r>
            <w:r w:rsidRPr="00450AA9">
              <w:rPr>
                <w:rFonts w:ascii="Calibri" w:eastAsia="Times New Roman" w:hAnsi="Calibri" w:cs="Times New Roman"/>
                <w:b/>
                <w:bCs/>
                <w:color w:val="000000"/>
                <w:sz w:val="14"/>
                <w:szCs w:val="14"/>
                <w:lang w:eastAsia="fr-FR"/>
              </w:rPr>
              <w:t>)</w:t>
            </w:r>
          </w:p>
        </w:tc>
        <w:tc>
          <w:tcPr>
            <w:tcW w:w="421" w:type="pct"/>
            <w:tcBorders>
              <w:top w:val="nil"/>
              <w:left w:val="nil"/>
              <w:bottom w:val="single" w:sz="4" w:space="0" w:color="auto"/>
              <w:right w:val="single" w:sz="4" w:space="0" w:color="auto"/>
            </w:tcBorders>
            <w:shd w:val="clear" w:color="auto" w:fill="D5D5CB"/>
            <w:vAlign w:val="center"/>
            <w:hideMark/>
          </w:tcPr>
          <w:p w14:paraId="2FC34008"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(n=19611)</w:t>
            </w:r>
          </w:p>
        </w:tc>
        <w:tc>
          <w:tcPr>
            <w:tcW w:w="421" w:type="pct"/>
            <w:tcBorders>
              <w:top w:val="nil"/>
              <w:left w:val="nil"/>
              <w:bottom w:val="single" w:sz="4" w:space="0" w:color="auto"/>
              <w:right w:val="single" w:sz="4" w:space="0" w:color="auto"/>
            </w:tcBorders>
            <w:shd w:val="clear" w:color="auto" w:fill="D5D5CB"/>
            <w:vAlign w:val="center"/>
            <w:hideMark/>
          </w:tcPr>
          <w:p w14:paraId="707C433A"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(n=19504)</w:t>
            </w:r>
          </w:p>
        </w:tc>
        <w:tc>
          <w:tcPr>
            <w:tcW w:w="420" w:type="pct"/>
            <w:tcBorders>
              <w:top w:val="nil"/>
              <w:left w:val="nil"/>
              <w:bottom w:val="single" w:sz="4" w:space="0" w:color="auto"/>
              <w:right w:val="single" w:sz="4" w:space="0" w:color="auto"/>
            </w:tcBorders>
            <w:shd w:val="clear" w:color="auto" w:fill="D5D5CB"/>
            <w:vAlign w:val="center"/>
            <w:hideMark/>
          </w:tcPr>
          <w:p w14:paraId="6A2BFD7B"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proofErr w:type="spellStart"/>
            <w:r w:rsidRPr="00450AA9">
              <w:rPr>
                <w:rFonts w:ascii="Calibri" w:eastAsia="Times New Roman" w:hAnsi="Calibri" w:cs="Times New Roman"/>
                <w:b/>
                <w:bCs/>
                <w:color w:val="000000"/>
                <w:sz w:val="14"/>
                <w:szCs w:val="14"/>
                <w:lang w:eastAsia="fr-FR"/>
              </w:rPr>
              <w:t>Ens</w:t>
            </w:r>
            <w:proofErr w:type="spellEnd"/>
            <w:r w:rsidRPr="00450AA9">
              <w:rPr>
                <w:rFonts w:ascii="Calibri" w:eastAsia="Times New Roman" w:hAnsi="Calibri" w:cs="Times New Roman"/>
                <w:b/>
                <w:bCs/>
                <w:color w:val="000000"/>
                <w:sz w:val="14"/>
                <w:szCs w:val="14"/>
                <w:lang w:eastAsia="fr-FR"/>
              </w:rPr>
              <w:t>.</w:t>
            </w:r>
            <w:r w:rsidRPr="00450AA9">
              <w:rPr>
                <w:rFonts w:ascii="Calibri" w:eastAsia="Times New Roman" w:hAnsi="Calibri" w:cs="Times New Roman"/>
                <w:b/>
                <w:bCs/>
                <w:color w:val="000000"/>
                <w:sz w:val="14"/>
                <w:szCs w:val="14"/>
                <w:lang w:eastAsia="fr-FR"/>
              </w:rPr>
              <w:br/>
              <w:t>(n=39115)</w:t>
            </w:r>
          </w:p>
        </w:tc>
      </w:tr>
      <w:tr w:rsidR="00720CB2" w:rsidRPr="00450AA9" w14:paraId="2D5D4708" w14:textId="77777777" w:rsidTr="00720CB2">
        <w:trPr>
          <w:trHeight w:val="300"/>
        </w:trPr>
        <w:tc>
          <w:tcPr>
            <w:tcW w:w="10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4097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w:t>
            </w:r>
          </w:p>
        </w:tc>
        <w:tc>
          <w:tcPr>
            <w:tcW w:w="1552" w:type="pct"/>
            <w:tcBorders>
              <w:top w:val="nil"/>
              <w:left w:val="nil"/>
              <w:bottom w:val="single" w:sz="4" w:space="0" w:color="auto"/>
              <w:right w:val="single" w:sz="4" w:space="0" w:color="auto"/>
            </w:tcBorders>
            <w:shd w:val="clear" w:color="auto" w:fill="auto"/>
            <w:noWrap/>
            <w:vAlign w:val="center"/>
            <w:hideMark/>
          </w:tcPr>
          <w:p w14:paraId="7C8B61A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vAlign w:val="center"/>
            <w:hideMark/>
          </w:tcPr>
          <w:p w14:paraId="0A2E64EB"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88*</w:t>
            </w:r>
          </w:p>
        </w:tc>
        <w:tc>
          <w:tcPr>
            <w:tcW w:w="379" w:type="pct"/>
            <w:tcBorders>
              <w:top w:val="nil"/>
              <w:left w:val="nil"/>
              <w:bottom w:val="single" w:sz="4" w:space="0" w:color="auto"/>
              <w:right w:val="single" w:sz="4" w:space="0" w:color="auto"/>
            </w:tcBorders>
            <w:shd w:val="clear" w:color="auto" w:fill="auto"/>
            <w:vAlign w:val="center"/>
            <w:hideMark/>
          </w:tcPr>
          <w:p w14:paraId="30E23AA7"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87*</w:t>
            </w:r>
          </w:p>
        </w:tc>
        <w:tc>
          <w:tcPr>
            <w:tcW w:w="379" w:type="pct"/>
            <w:tcBorders>
              <w:top w:val="nil"/>
              <w:left w:val="nil"/>
              <w:bottom w:val="single" w:sz="4" w:space="0" w:color="auto"/>
              <w:right w:val="single" w:sz="4" w:space="0" w:color="auto"/>
            </w:tcBorders>
            <w:shd w:val="clear" w:color="auto" w:fill="auto"/>
            <w:vAlign w:val="center"/>
            <w:hideMark/>
          </w:tcPr>
          <w:p w14:paraId="71F0E3B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87*</w:t>
            </w:r>
          </w:p>
        </w:tc>
        <w:tc>
          <w:tcPr>
            <w:tcW w:w="421" w:type="pct"/>
            <w:tcBorders>
              <w:top w:val="nil"/>
              <w:left w:val="nil"/>
              <w:bottom w:val="single" w:sz="4" w:space="0" w:color="auto"/>
              <w:right w:val="single" w:sz="4" w:space="0" w:color="auto"/>
            </w:tcBorders>
            <w:shd w:val="clear" w:color="auto" w:fill="auto"/>
            <w:vAlign w:val="center"/>
            <w:hideMark/>
          </w:tcPr>
          <w:p w14:paraId="415DF06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86,6</w:t>
            </w:r>
          </w:p>
        </w:tc>
        <w:tc>
          <w:tcPr>
            <w:tcW w:w="421" w:type="pct"/>
            <w:tcBorders>
              <w:top w:val="nil"/>
              <w:left w:val="nil"/>
              <w:bottom w:val="single" w:sz="4" w:space="0" w:color="auto"/>
              <w:right w:val="single" w:sz="4" w:space="0" w:color="auto"/>
            </w:tcBorders>
            <w:shd w:val="clear" w:color="auto" w:fill="auto"/>
            <w:vAlign w:val="center"/>
            <w:hideMark/>
          </w:tcPr>
          <w:p w14:paraId="4BDB728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84,6</w:t>
            </w:r>
          </w:p>
        </w:tc>
        <w:tc>
          <w:tcPr>
            <w:tcW w:w="420" w:type="pct"/>
            <w:tcBorders>
              <w:top w:val="nil"/>
              <w:left w:val="nil"/>
              <w:bottom w:val="single" w:sz="4" w:space="0" w:color="auto"/>
              <w:right w:val="single" w:sz="4" w:space="0" w:color="auto"/>
            </w:tcBorders>
            <w:shd w:val="clear" w:color="auto" w:fill="auto"/>
            <w:vAlign w:val="center"/>
            <w:hideMark/>
          </w:tcPr>
          <w:p w14:paraId="3CC6B011"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85,7</w:t>
            </w:r>
          </w:p>
        </w:tc>
      </w:tr>
      <w:tr w:rsidR="00720CB2" w:rsidRPr="00450AA9" w14:paraId="18B2F8AF"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6E7AC2FD"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76974FE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le mois (≥ 1 usage)</w:t>
            </w:r>
          </w:p>
        </w:tc>
        <w:tc>
          <w:tcPr>
            <w:tcW w:w="379" w:type="pct"/>
            <w:tcBorders>
              <w:top w:val="nil"/>
              <w:left w:val="nil"/>
              <w:bottom w:val="single" w:sz="4" w:space="0" w:color="auto"/>
              <w:right w:val="single" w:sz="4" w:space="0" w:color="auto"/>
            </w:tcBorders>
            <w:shd w:val="clear" w:color="auto" w:fill="auto"/>
            <w:vAlign w:val="center"/>
            <w:hideMark/>
          </w:tcPr>
          <w:p w14:paraId="25E06134"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73*</w:t>
            </w:r>
          </w:p>
        </w:tc>
        <w:tc>
          <w:tcPr>
            <w:tcW w:w="379" w:type="pct"/>
            <w:tcBorders>
              <w:top w:val="nil"/>
              <w:left w:val="nil"/>
              <w:bottom w:val="single" w:sz="4" w:space="0" w:color="auto"/>
              <w:right w:val="single" w:sz="4" w:space="0" w:color="auto"/>
            </w:tcBorders>
            <w:shd w:val="clear" w:color="auto" w:fill="auto"/>
            <w:vAlign w:val="center"/>
            <w:hideMark/>
          </w:tcPr>
          <w:p w14:paraId="2BFDC21D"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66*</w:t>
            </w:r>
          </w:p>
        </w:tc>
        <w:tc>
          <w:tcPr>
            <w:tcW w:w="379" w:type="pct"/>
            <w:tcBorders>
              <w:top w:val="nil"/>
              <w:left w:val="nil"/>
              <w:bottom w:val="single" w:sz="4" w:space="0" w:color="auto"/>
              <w:right w:val="single" w:sz="4" w:space="0" w:color="auto"/>
            </w:tcBorders>
            <w:shd w:val="clear" w:color="auto" w:fill="auto"/>
            <w:vAlign w:val="center"/>
            <w:hideMark/>
          </w:tcPr>
          <w:p w14:paraId="410C8B2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70*</w:t>
            </w:r>
          </w:p>
        </w:tc>
        <w:tc>
          <w:tcPr>
            <w:tcW w:w="421" w:type="pct"/>
            <w:tcBorders>
              <w:top w:val="nil"/>
              <w:left w:val="nil"/>
              <w:bottom w:val="single" w:sz="4" w:space="0" w:color="auto"/>
              <w:right w:val="single" w:sz="4" w:space="0" w:color="auto"/>
            </w:tcBorders>
            <w:shd w:val="clear" w:color="auto" w:fill="auto"/>
            <w:vAlign w:val="center"/>
            <w:hideMark/>
          </w:tcPr>
          <w:p w14:paraId="194449D7"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69,9</w:t>
            </w:r>
          </w:p>
        </w:tc>
        <w:tc>
          <w:tcPr>
            <w:tcW w:w="421" w:type="pct"/>
            <w:tcBorders>
              <w:top w:val="nil"/>
              <w:left w:val="nil"/>
              <w:bottom w:val="single" w:sz="4" w:space="0" w:color="auto"/>
              <w:right w:val="single" w:sz="4" w:space="0" w:color="auto"/>
            </w:tcBorders>
            <w:shd w:val="clear" w:color="auto" w:fill="auto"/>
            <w:vAlign w:val="center"/>
            <w:hideMark/>
          </w:tcPr>
          <w:p w14:paraId="6BD186A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62,9</w:t>
            </w:r>
          </w:p>
        </w:tc>
        <w:tc>
          <w:tcPr>
            <w:tcW w:w="420" w:type="pct"/>
            <w:tcBorders>
              <w:top w:val="nil"/>
              <w:left w:val="nil"/>
              <w:bottom w:val="single" w:sz="4" w:space="0" w:color="auto"/>
              <w:right w:val="single" w:sz="4" w:space="0" w:color="auto"/>
            </w:tcBorders>
            <w:shd w:val="clear" w:color="auto" w:fill="auto"/>
            <w:vAlign w:val="center"/>
            <w:hideMark/>
          </w:tcPr>
          <w:p w14:paraId="6028CFA6"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66,5</w:t>
            </w:r>
          </w:p>
        </w:tc>
      </w:tr>
      <w:tr w:rsidR="00720CB2" w:rsidRPr="00450AA9" w14:paraId="55DA18F4"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24FB223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515BC31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 10 usages dans le mois)</w:t>
            </w:r>
          </w:p>
        </w:tc>
        <w:tc>
          <w:tcPr>
            <w:tcW w:w="379" w:type="pct"/>
            <w:tcBorders>
              <w:top w:val="nil"/>
              <w:left w:val="nil"/>
              <w:bottom w:val="single" w:sz="4" w:space="0" w:color="auto"/>
              <w:right w:val="single" w:sz="4" w:space="0" w:color="auto"/>
            </w:tcBorders>
            <w:shd w:val="clear" w:color="auto" w:fill="auto"/>
            <w:vAlign w:val="center"/>
            <w:hideMark/>
          </w:tcPr>
          <w:p w14:paraId="4858048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14*</w:t>
            </w:r>
          </w:p>
        </w:tc>
        <w:tc>
          <w:tcPr>
            <w:tcW w:w="379" w:type="pct"/>
            <w:tcBorders>
              <w:top w:val="nil"/>
              <w:left w:val="nil"/>
              <w:bottom w:val="single" w:sz="4" w:space="0" w:color="auto"/>
              <w:right w:val="single" w:sz="4" w:space="0" w:color="auto"/>
            </w:tcBorders>
            <w:shd w:val="clear" w:color="auto" w:fill="auto"/>
            <w:vAlign w:val="center"/>
            <w:hideMark/>
          </w:tcPr>
          <w:p w14:paraId="73B35BB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379" w:type="pct"/>
            <w:tcBorders>
              <w:top w:val="nil"/>
              <w:left w:val="nil"/>
              <w:bottom w:val="single" w:sz="4" w:space="0" w:color="auto"/>
              <w:right w:val="single" w:sz="4" w:space="0" w:color="auto"/>
            </w:tcBorders>
            <w:shd w:val="clear" w:color="auto" w:fill="auto"/>
            <w:vAlign w:val="center"/>
            <w:hideMark/>
          </w:tcPr>
          <w:p w14:paraId="42D2EBD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10*</w:t>
            </w:r>
          </w:p>
        </w:tc>
        <w:tc>
          <w:tcPr>
            <w:tcW w:w="421" w:type="pct"/>
            <w:tcBorders>
              <w:top w:val="nil"/>
              <w:left w:val="nil"/>
              <w:bottom w:val="single" w:sz="4" w:space="0" w:color="auto"/>
              <w:right w:val="single" w:sz="4" w:space="0" w:color="auto"/>
            </w:tcBorders>
            <w:shd w:val="clear" w:color="auto" w:fill="auto"/>
            <w:vAlign w:val="center"/>
            <w:hideMark/>
          </w:tcPr>
          <w:p w14:paraId="30AED8A6"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12</w:t>
            </w:r>
          </w:p>
        </w:tc>
        <w:tc>
          <w:tcPr>
            <w:tcW w:w="421" w:type="pct"/>
            <w:tcBorders>
              <w:top w:val="nil"/>
              <w:left w:val="nil"/>
              <w:bottom w:val="single" w:sz="4" w:space="0" w:color="auto"/>
              <w:right w:val="single" w:sz="4" w:space="0" w:color="auto"/>
            </w:tcBorders>
            <w:shd w:val="clear" w:color="auto" w:fill="auto"/>
            <w:vAlign w:val="center"/>
            <w:hideMark/>
          </w:tcPr>
          <w:p w14:paraId="3EBA129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4,6</w:t>
            </w:r>
          </w:p>
        </w:tc>
        <w:tc>
          <w:tcPr>
            <w:tcW w:w="420" w:type="pct"/>
            <w:tcBorders>
              <w:top w:val="nil"/>
              <w:left w:val="nil"/>
              <w:bottom w:val="single" w:sz="4" w:space="0" w:color="auto"/>
              <w:right w:val="single" w:sz="4" w:space="0" w:color="auto"/>
            </w:tcBorders>
            <w:shd w:val="clear" w:color="auto" w:fill="auto"/>
            <w:vAlign w:val="center"/>
            <w:hideMark/>
          </w:tcPr>
          <w:p w14:paraId="03685D9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8,4</w:t>
            </w:r>
          </w:p>
        </w:tc>
      </w:tr>
      <w:tr w:rsidR="00720CB2" w:rsidRPr="00450AA9" w14:paraId="22548721" w14:textId="77777777" w:rsidTr="00720CB2">
        <w:trPr>
          <w:trHeight w:val="600"/>
        </w:trPr>
        <w:tc>
          <w:tcPr>
            <w:tcW w:w="1049" w:type="pct"/>
            <w:tcBorders>
              <w:top w:val="nil"/>
              <w:left w:val="single" w:sz="4" w:space="0" w:color="auto"/>
              <w:bottom w:val="single" w:sz="4" w:space="0" w:color="auto"/>
              <w:right w:val="single" w:sz="4" w:space="0" w:color="auto"/>
            </w:tcBorders>
            <w:shd w:val="clear" w:color="auto" w:fill="auto"/>
            <w:vAlign w:val="center"/>
            <w:hideMark/>
          </w:tcPr>
          <w:p w14:paraId="2AFC38F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Alcoolisation ponctuelle importante (API)</w:t>
            </w:r>
          </w:p>
        </w:tc>
        <w:tc>
          <w:tcPr>
            <w:tcW w:w="1552" w:type="pct"/>
            <w:tcBorders>
              <w:top w:val="nil"/>
              <w:left w:val="nil"/>
              <w:bottom w:val="single" w:sz="4" w:space="0" w:color="auto"/>
              <w:right w:val="single" w:sz="4" w:space="0" w:color="auto"/>
            </w:tcBorders>
            <w:shd w:val="clear" w:color="auto" w:fill="auto"/>
            <w:noWrap/>
            <w:vAlign w:val="center"/>
            <w:hideMark/>
          </w:tcPr>
          <w:p w14:paraId="2921F38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Répétées (≥ 3 fois dans le mois)</w:t>
            </w:r>
          </w:p>
        </w:tc>
        <w:tc>
          <w:tcPr>
            <w:tcW w:w="379" w:type="pct"/>
            <w:tcBorders>
              <w:top w:val="nil"/>
              <w:left w:val="nil"/>
              <w:bottom w:val="single" w:sz="4" w:space="0" w:color="auto"/>
              <w:right w:val="single" w:sz="4" w:space="0" w:color="auto"/>
            </w:tcBorders>
            <w:shd w:val="clear" w:color="auto" w:fill="auto"/>
            <w:vAlign w:val="center"/>
            <w:hideMark/>
          </w:tcPr>
          <w:p w14:paraId="168985A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25*</w:t>
            </w:r>
          </w:p>
        </w:tc>
        <w:tc>
          <w:tcPr>
            <w:tcW w:w="379" w:type="pct"/>
            <w:tcBorders>
              <w:top w:val="nil"/>
              <w:left w:val="nil"/>
              <w:bottom w:val="single" w:sz="4" w:space="0" w:color="auto"/>
              <w:right w:val="single" w:sz="4" w:space="0" w:color="auto"/>
            </w:tcBorders>
            <w:shd w:val="clear" w:color="auto" w:fill="auto"/>
            <w:vAlign w:val="center"/>
            <w:hideMark/>
          </w:tcPr>
          <w:p w14:paraId="34D8FCD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79" w:type="pct"/>
            <w:tcBorders>
              <w:top w:val="nil"/>
              <w:left w:val="nil"/>
              <w:bottom w:val="single" w:sz="4" w:space="0" w:color="auto"/>
              <w:right w:val="single" w:sz="4" w:space="0" w:color="auto"/>
            </w:tcBorders>
            <w:shd w:val="clear" w:color="auto" w:fill="auto"/>
            <w:vAlign w:val="center"/>
            <w:hideMark/>
          </w:tcPr>
          <w:p w14:paraId="036854D2"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FF0000"/>
                <w:sz w:val="14"/>
                <w:szCs w:val="14"/>
              </w:rPr>
              <w:t>18*</w:t>
            </w:r>
          </w:p>
        </w:tc>
        <w:tc>
          <w:tcPr>
            <w:tcW w:w="421" w:type="pct"/>
            <w:tcBorders>
              <w:top w:val="nil"/>
              <w:left w:val="nil"/>
              <w:bottom w:val="single" w:sz="4" w:space="0" w:color="auto"/>
              <w:right w:val="single" w:sz="4" w:space="0" w:color="auto"/>
            </w:tcBorders>
            <w:shd w:val="clear" w:color="auto" w:fill="auto"/>
            <w:vAlign w:val="center"/>
            <w:hideMark/>
          </w:tcPr>
          <w:p w14:paraId="548A9CC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21,7</w:t>
            </w:r>
          </w:p>
        </w:tc>
        <w:tc>
          <w:tcPr>
            <w:tcW w:w="421" w:type="pct"/>
            <w:tcBorders>
              <w:top w:val="nil"/>
              <w:left w:val="nil"/>
              <w:bottom w:val="single" w:sz="4" w:space="0" w:color="auto"/>
              <w:right w:val="single" w:sz="4" w:space="0" w:color="auto"/>
            </w:tcBorders>
            <w:shd w:val="clear" w:color="auto" w:fill="auto"/>
            <w:vAlign w:val="center"/>
            <w:hideMark/>
          </w:tcPr>
          <w:p w14:paraId="64AE8498"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10,9</w:t>
            </w:r>
          </w:p>
        </w:tc>
        <w:tc>
          <w:tcPr>
            <w:tcW w:w="420" w:type="pct"/>
            <w:tcBorders>
              <w:top w:val="nil"/>
              <w:left w:val="nil"/>
              <w:bottom w:val="single" w:sz="4" w:space="0" w:color="auto"/>
              <w:right w:val="single" w:sz="4" w:space="0" w:color="auto"/>
            </w:tcBorders>
            <w:shd w:val="clear" w:color="auto" w:fill="auto"/>
            <w:vAlign w:val="center"/>
            <w:hideMark/>
          </w:tcPr>
          <w:p w14:paraId="16219B6E"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16,4</w:t>
            </w:r>
          </w:p>
        </w:tc>
      </w:tr>
      <w:tr w:rsidR="00720CB2" w:rsidRPr="00450AA9" w14:paraId="157C0FE2" w14:textId="77777777" w:rsidTr="00720CB2">
        <w:trPr>
          <w:trHeight w:val="300"/>
        </w:trPr>
        <w:tc>
          <w:tcPr>
            <w:tcW w:w="10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D0D15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Tabac</w:t>
            </w:r>
          </w:p>
        </w:tc>
        <w:tc>
          <w:tcPr>
            <w:tcW w:w="1552" w:type="pct"/>
            <w:tcBorders>
              <w:top w:val="nil"/>
              <w:left w:val="nil"/>
              <w:bottom w:val="single" w:sz="4" w:space="0" w:color="auto"/>
              <w:right w:val="single" w:sz="4" w:space="0" w:color="auto"/>
            </w:tcBorders>
            <w:shd w:val="clear" w:color="auto" w:fill="auto"/>
            <w:noWrap/>
            <w:vAlign w:val="center"/>
            <w:hideMark/>
          </w:tcPr>
          <w:p w14:paraId="28FC7E2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797F8B4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62*</w:t>
            </w:r>
          </w:p>
        </w:tc>
        <w:tc>
          <w:tcPr>
            <w:tcW w:w="379" w:type="pct"/>
            <w:tcBorders>
              <w:top w:val="nil"/>
              <w:left w:val="nil"/>
              <w:bottom w:val="single" w:sz="4" w:space="0" w:color="auto"/>
              <w:right w:val="single" w:sz="4" w:space="0" w:color="auto"/>
            </w:tcBorders>
            <w:shd w:val="clear" w:color="auto" w:fill="auto"/>
            <w:noWrap/>
            <w:vAlign w:val="center"/>
            <w:hideMark/>
          </w:tcPr>
          <w:p w14:paraId="2D102EF1"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64*</w:t>
            </w:r>
          </w:p>
        </w:tc>
        <w:tc>
          <w:tcPr>
            <w:tcW w:w="379" w:type="pct"/>
            <w:tcBorders>
              <w:top w:val="nil"/>
              <w:left w:val="nil"/>
              <w:bottom w:val="single" w:sz="4" w:space="0" w:color="auto"/>
              <w:right w:val="single" w:sz="4" w:space="0" w:color="auto"/>
            </w:tcBorders>
            <w:shd w:val="clear" w:color="auto" w:fill="auto"/>
            <w:noWrap/>
            <w:vAlign w:val="center"/>
            <w:hideMark/>
          </w:tcPr>
          <w:p w14:paraId="60E593EA"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63*</w:t>
            </w:r>
          </w:p>
        </w:tc>
        <w:tc>
          <w:tcPr>
            <w:tcW w:w="421" w:type="pct"/>
            <w:tcBorders>
              <w:top w:val="nil"/>
              <w:left w:val="nil"/>
              <w:bottom w:val="single" w:sz="4" w:space="0" w:color="auto"/>
              <w:right w:val="single" w:sz="4" w:space="0" w:color="auto"/>
            </w:tcBorders>
            <w:shd w:val="clear" w:color="auto" w:fill="auto"/>
            <w:noWrap/>
            <w:vAlign w:val="center"/>
            <w:hideMark/>
          </w:tcPr>
          <w:p w14:paraId="626852F8"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58,1</w:t>
            </w:r>
          </w:p>
        </w:tc>
        <w:tc>
          <w:tcPr>
            <w:tcW w:w="421" w:type="pct"/>
            <w:tcBorders>
              <w:top w:val="nil"/>
              <w:left w:val="nil"/>
              <w:bottom w:val="single" w:sz="4" w:space="0" w:color="auto"/>
              <w:right w:val="single" w:sz="4" w:space="0" w:color="auto"/>
            </w:tcBorders>
            <w:shd w:val="clear" w:color="auto" w:fill="auto"/>
            <w:noWrap/>
            <w:vAlign w:val="center"/>
            <w:hideMark/>
          </w:tcPr>
          <w:p w14:paraId="5743E19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59,9</w:t>
            </w:r>
          </w:p>
        </w:tc>
        <w:tc>
          <w:tcPr>
            <w:tcW w:w="420" w:type="pct"/>
            <w:tcBorders>
              <w:top w:val="nil"/>
              <w:left w:val="nil"/>
              <w:bottom w:val="single" w:sz="4" w:space="0" w:color="auto"/>
              <w:right w:val="single" w:sz="4" w:space="0" w:color="auto"/>
            </w:tcBorders>
            <w:shd w:val="clear" w:color="auto" w:fill="auto"/>
            <w:noWrap/>
            <w:vAlign w:val="center"/>
            <w:hideMark/>
          </w:tcPr>
          <w:p w14:paraId="6231399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59,0</w:t>
            </w:r>
          </w:p>
        </w:tc>
      </w:tr>
      <w:tr w:rsidR="00720CB2" w:rsidRPr="00450AA9" w14:paraId="4AEB66C7"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537A0E6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0C870280" w14:textId="48135329"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Quotidien (≥ 1 cig</w:t>
            </w:r>
            <w:r w:rsidR="00F040E0">
              <w:rPr>
                <w:rFonts w:ascii="Calibri" w:eastAsia="Times New Roman" w:hAnsi="Calibri" w:cs="Times New Roman"/>
                <w:color w:val="000000"/>
                <w:sz w:val="14"/>
                <w:szCs w:val="14"/>
                <w:lang w:eastAsia="fr-FR"/>
              </w:rPr>
              <w:t>arette</w:t>
            </w:r>
            <w:r w:rsidRPr="00450AA9">
              <w:rPr>
                <w:rFonts w:ascii="Calibri" w:eastAsia="Times New Roman" w:hAnsi="Calibri" w:cs="Times New Roman"/>
                <w:color w:val="000000"/>
                <w:sz w:val="14"/>
                <w:szCs w:val="14"/>
                <w:lang w:eastAsia="fr-FR"/>
              </w:rPr>
              <w:t>/jour)</w:t>
            </w:r>
          </w:p>
        </w:tc>
        <w:tc>
          <w:tcPr>
            <w:tcW w:w="379" w:type="pct"/>
            <w:tcBorders>
              <w:top w:val="nil"/>
              <w:left w:val="nil"/>
              <w:bottom w:val="single" w:sz="4" w:space="0" w:color="auto"/>
              <w:right w:val="single" w:sz="4" w:space="0" w:color="auto"/>
            </w:tcBorders>
            <w:shd w:val="clear" w:color="auto" w:fill="auto"/>
            <w:noWrap/>
            <w:vAlign w:val="center"/>
            <w:hideMark/>
          </w:tcPr>
          <w:p w14:paraId="327798C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28</w:t>
            </w:r>
          </w:p>
        </w:tc>
        <w:tc>
          <w:tcPr>
            <w:tcW w:w="379" w:type="pct"/>
            <w:tcBorders>
              <w:top w:val="nil"/>
              <w:left w:val="nil"/>
              <w:bottom w:val="single" w:sz="4" w:space="0" w:color="auto"/>
              <w:right w:val="single" w:sz="4" w:space="0" w:color="auto"/>
            </w:tcBorders>
            <w:shd w:val="clear" w:color="auto" w:fill="auto"/>
            <w:noWrap/>
            <w:vAlign w:val="center"/>
            <w:hideMark/>
          </w:tcPr>
          <w:p w14:paraId="312BFD0E"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26*</w:t>
            </w:r>
          </w:p>
        </w:tc>
        <w:tc>
          <w:tcPr>
            <w:tcW w:w="379" w:type="pct"/>
            <w:tcBorders>
              <w:top w:val="nil"/>
              <w:left w:val="nil"/>
              <w:bottom w:val="single" w:sz="4" w:space="0" w:color="auto"/>
              <w:right w:val="single" w:sz="4" w:space="0" w:color="auto"/>
            </w:tcBorders>
            <w:shd w:val="clear" w:color="auto" w:fill="auto"/>
            <w:noWrap/>
            <w:vAlign w:val="center"/>
            <w:hideMark/>
          </w:tcPr>
          <w:p w14:paraId="7F97CCD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27*</w:t>
            </w:r>
          </w:p>
        </w:tc>
        <w:tc>
          <w:tcPr>
            <w:tcW w:w="421" w:type="pct"/>
            <w:tcBorders>
              <w:top w:val="nil"/>
              <w:left w:val="nil"/>
              <w:bottom w:val="single" w:sz="4" w:space="0" w:color="auto"/>
              <w:right w:val="single" w:sz="4" w:space="0" w:color="auto"/>
            </w:tcBorders>
            <w:shd w:val="clear" w:color="auto" w:fill="auto"/>
            <w:noWrap/>
            <w:vAlign w:val="center"/>
            <w:hideMark/>
          </w:tcPr>
          <w:p w14:paraId="7D9B1EC3"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26,3</w:t>
            </w:r>
          </w:p>
        </w:tc>
        <w:tc>
          <w:tcPr>
            <w:tcW w:w="421" w:type="pct"/>
            <w:tcBorders>
              <w:top w:val="nil"/>
              <w:left w:val="nil"/>
              <w:bottom w:val="single" w:sz="4" w:space="0" w:color="auto"/>
              <w:right w:val="single" w:sz="4" w:space="0" w:color="auto"/>
            </w:tcBorders>
            <w:shd w:val="clear" w:color="auto" w:fill="auto"/>
            <w:noWrap/>
            <w:vAlign w:val="center"/>
            <w:hideMark/>
          </w:tcPr>
          <w:p w14:paraId="42F80F02"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23,8</w:t>
            </w:r>
          </w:p>
        </w:tc>
        <w:tc>
          <w:tcPr>
            <w:tcW w:w="420" w:type="pct"/>
            <w:tcBorders>
              <w:top w:val="nil"/>
              <w:left w:val="nil"/>
              <w:bottom w:val="single" w:sz="4" w:space="0" w:color="auto"/>
              <w:right w:val="single" w:sz="4" w:space="0" w:color="auto"/>
            </w:tcBorders>
            <w:shd w:val="clear" w:color="auto" w:fill="auto"/>
            <w:noWrap/>
            <w:vAlign w:val="center"/>
            <w:hideMark/>
          </w:tcPr>
          <w:p w14:paraId="4164966B"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25,1</w:t>
            </w:r>
          </w:p>
        </w:tc>
      </w:tr>
      <w:tr w:rsidR="00720CB2" w:rsidRPr="00450AA9" w14:paraId="6FE603B3" w14:textId="77777777" w:rsidTr="00720CB2">
        <w:trPr>
          <w:trHeight w:val="300"/>
        </w:trPr>
        <w:tc>
          <w:tcPr>
            <w:tcW w:w="1049" w:type="pct"/>
            <w:vMerge/>
            <w:tcBorders>
              <w:top w:val="nil"/>
              <w:left w:val="single" w:sz="4" w:space="0" w:color="auto"/>
              <w:bottom w:val="single" w:sz="4" w:space="0" w:color="auto"/>
              <w:right w:val="single" w:sz="4" w:space="0" w:color="auto"/>
            </w:tcBorders>
            <w:vAlign w:val="center"/>
            <w:hideMark/>
          </w:tcPr>
          <w:p w14:paraId="43D2CD50"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091B5AEB" w14:textId="0B30AF3B"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Intensif (≥ 10 cig</w:t>
            </w:r>
            <w:r w:rsidR="00F040E0">
              <w:rPr>
                <w:rFonts w:ascii="Calibri" w:eastAsia="Times New Roman" w:hAnsi="Calibri" w:cs="Times New Roman"/>
                <w:color w:val="000000"/>
                <w:sz w:val="14"/>
                <w:szCs w:val="14"/>
                <w:lang w:eastAsia="fr-FR"/>
              </w:rPr>
              <w:t>arettes</w:t>
            </w:r>
            <w:r w:rsidRPr="00450AA9">
              <w:rPr>
                <w:rFonts w:ascii="Calibri" w:eastAsia="Times New Roman" w:hAnsi="Calibri" w:cs="Times New Roman"/>
                <w:color w:val="000000"/>
                <w:sz w:val="14"/>
                <w:szCs w:val="14"/>
                <w:lang w:eastAsia="fr-FR"/>
              </w:rPr>
              <w:t>/jour)</w:t>
            </w:r>
          </w:p>
        </w:tc>
        <w:tc>
          <w:tcPr>
            <w:tcW w:w="379" w:type="pct"/>
            <w:tcBorders>
              <w:top w:val="nil"/>
              <w:left w:val="nil"/>
              <w:bottom w:val="single" w:sz="4" w:space="0" w:color="auto"/>
              <w:right w:val="single" w:sz="4" w:space="0" w:color="auto"/>
            </w:tcBorders>
            <w:shd w:val="clear" w:color="auto" w:fill="auto"/>
            <w:noWrap/>
            <w:vAlign w:val="center"/>
            <w:hideMark/>
          </w:tcPr>
          <w:p w14:paraId="797BAF93"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6</w:t>
            </w:r>
          </w:p>
        </w:tc>
        <w:tc>
          <w:tcPr>
            <w:tcW w:w="379" w:type="pct"/>
            <w:tcBorders>
              <w:top w:val="nil"/>
              <w:left w:val="nil"/>
              <w:bottom w:val="single" w:sz="4" w:space="0" w:color="auto"/>
              <w:right w:val="single" w:sz="4" w:space="0" w:color="auto"/>
            </w:tcBorders>
            <w:shd w:val="clear" w:color="auto" w:fill="auto"/>
            <w:noWrap/>
            <w:vAlign w:val="center"/>
            <w:hideMark/>
          </w:tcPr>
          <w:p w14:paraId="190BA22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center"/>
            <w:hideMark/>
          </w:tcPr>
          <w:p w14:paraId="6E5950EB"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5</w:t>
            </w:r>
          </w:p>
        </w:tc>
        <w:tc>
          <w:tcPr>
            <w:tcW w:w="421" w:type="pct"/>
            <w:tcBorders>
              <w:top w:val="nil"/>
              <w:left w:val="nil"/>
              <w:bottom w:val="single" w:sz="4" w:space="0" w:color="auto"/>
              <w:right w:val="single" w:sz="4" w:space="0" w:color="auto"/>
            </w:tcBorders>
            <w:shd w:val="clear" w:color="auto" w:fill="auto"/>
            <w:noWrap/>
            <w:vAlign w:val="center"/>
            <w:hideMark/>
          </w:tcPr>
          <w:p w14:paraId="73822687"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6,5</w:t>
            </w:r>
          </w:p>
        </w:tc>
        <w:tc>
          <w:tcPr>
            <w:tcW w:w="421" w:type="pct"/>
            <w:tcBorders>
              <w:top w:val="nil"/>
              <w:left w:val="nil"/>
              <w:bottom w:val="single" w:sz="4" w:space="0" w:color="auto"/>
              <w:right w:val="single" w:sz="4" w:space="0" w:color="auto"/>
            </w:tcBorders>
            <w:shd w:val="clear" w:color="auto" w:fill="auto"/>
            <w:noWrap/>
            <w:vAlign w:val="center"/>
            <w:hideMark/>
          </w:tcPr>
          <w:p w14:paraId="630CFD41"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3,9</w:t>
            </w:r>
          </w:p>
        </w:tc>
        <w:tc>
          <w:tcPr>
            <w:tcW w:w="420" w:type="pct"/>
            <w:tcBorders>
              <w:top w:val="nil"/>
              <w:left w:val="nil"/>
              <w:bottom w:val="single" w:sz="4" w:space="0" w:color="auto"/>
              <w:right w:val="single" w:sz="4" w:space="0" w:color="auto"/>
            </w:tcBorders>
            <w:shd w:val="clear" w:color="auto" w:fill="auto"/>
            <w:noWrap/>
            <w:vAlign w:val="center"/>
            <w:hideMark/>
          </w:tcPr>
          <w:p w14:paraId="045C9C5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5,2</w:t>
            </w:r>
          </w:p>
        </w:tc>
      </w:tr>
      <w:tr w:rsidR="00720CB2" w:rsidRPr="00450AA9" w14:paraId="670F199F" w14:textId="77777777" w:rsidTr="00720CB2">
        <w:trPr>
          <w:trHeight w:val="300"/>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28EB47"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Cannabis</w:t>
            </w:r>
          </w:p>
        </w:tc>
        <w:tc>
          <w:tcPr>
            <w:tcW w:w="1552" w:type="pct"/>
            <w:tcBorders>
              <w:top w:val="nil"/>
              <w:left w:val="nil"/>
              <w:bottom w:val="single" w:sz="4" w:space="0" w:color="auto"/>
              <w:right w:val="single" w:sz="4" w:space="0" w:color="auto"/>
            </w:tcBorders>
            <w:shd w:val="clear" w:color="auto" w:fill="auto"/>
            <w:noWrap/>
            <w:vAlign w:val="center"/>
            <w:hideMark/>
          </w:tcPr>
          <w:p w14:paraId="4AD6E95F"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1C3AE8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43</w:t>
            </w:r>
          </w:p>
        </w:tc>
        <w:tc>
          <w:tcPr>
            <w:tcW w:w="379" w:type="pct"/>
            <w:tcBorders>
              <w:top w:val="nil"/>
              <w:left w:val="nil"/>
              <w:bottom w:val="single" w:sz="4" w:space="0" w:color="auto"/>
              <w:right w:val="single" w:sz="4" w:space="0" w:color="auto"/>
            </w:tcBorders>
            <w:shd w:val="clear" w:color="auto" w:fill="auto"/>
            <w:noWrap/>
            <w:vAlign w:val="center"/>
            <w:hideMark/>
          </w:tcPr>
          <w:p w14:paraId="3B0BB37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40*</w:t>
            </w:r>
          </w:p>
        </w:tc>
        <w:tc>
          <w:tcPr>
            <w:tcW w:w="379" w:type="pct"/>
            <w:tcBorders>
              <w:top w:val="nil"/>
              <w:left w:val="nil"/>
              <w:bottom w:val="single" w:sz="4" w:space="0" w:color="auto"/>
              <w:right w:val="single" w:sz="4" w:space="0" w:color="auto"/>
            </w:tcBorders>
            <w:shd w:val="clear" w:color="auto" w:fill="auto"/>
            <w:noWrap/>
            <w:vAlign w:val="center"/>
            <w:hideMark/>
          </w:tcPr>
          <w:p w14:paraId="4AF15D3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42*</w:t>
            </w:r>
          </w:p>
        </w:tc>
        <w:tc>
          <w:tcPr>
            <w:tcW w:w="421" w:type="pct"/>
            <w:tcBorders>
              <w:top w:val="nil"/>
              <w:left w:val="nil"/>
              <w:bottom w:val="single" w:sz="4" w:space="0" w:color="auto"/>
              <w:right w:val="single" w:sz="4" w:space="0" w:color="auto"/>
            </w:tcBorders>
            <w:shd w:val="clear" w:color="auto" w:fill="auto"/>
            <w:noWrap/>
            <w:vAlign w:val="center"/>
            <w:hideMark/>
          </w:tcPr>
          <w:p w14:paraId="2892A1B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41,8</w:t>
            </w:r>
          </w:p>
        </w:tc>
        <w:tc>
          <w:tcPr>
            <w:tcW w:w="421" w:type="pct"/>
            <w:tcBorders>
              <w:top w:val="nil"/>
              <w:left w:val="nil"/>
              <w:bottom w:val="single" w:sz="4" w:space="0" w:color="auto"/>
              <w:right w:val="single" w:sz="4" w:space="0" w:color="auto"/>
            </w:tcBorders>
            <w:shd w:val="clear" w:color="auto" w:fill="auto"/>
            <w:noWrap/>
            <w:vAlign w:val="center"/>
            <w:hideMark/>
          </w:tcPr>
          <w:p w14:paraId="1C519D1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36,3</w:t>
            </w:r>
          </w:p>
        </w:tc>
        <w:tc>
          <w:tcPr>
            <w:tcW w:w="420" w:type="pct"/>
            <w:tcBorders>
              <w:top w:val="nil"/>
              <w:left w:val="nil"/>
              <w:bottom w:val="single" w:sz="4" w:space="0" w:color="auto"/>
              <w:right w:val="single" w:sz="4" w:space="0" w:color="auto"/>
            </w:tcBorders>
            <w:shd w:val="clear" w:color="auto" w:fill="auto"/>
            <w:noWrap/>
            <w:vAlign w:val="center"/>
            <w:hideMark/>
          </w:tcPr>
          <w:p w14:paraId="0203CE5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39,1</w:t>
            </w:r>
          </w:p>
        </w:tc>
      </w:tr>
      <w:tr w:rsidR="00720CB2" w:rsidRPr="00450AA9" w14:paraId="03BB3EB0" w14:textId="77777777" w:rsidTr="00720CB2">
        <w:trPr>
          <w:trHeight w:val="300"/>
        </w:trPr>
        <w:tc>
          <w:tcPr>
            <w:tcW w:w="1049" w:type="pct"/>
            <w:vMerge/>
            <w:tcBorders>
              <w:top w:val="nil"/>
              <w:left w:val="single" w:sz="4" w:space="0" w:color="auto"/>
              <w:bottom w:val="single" w:sz="4" w:space="0" w:color="000000"/>
              <w:right w:val="single" w:sz="4" w:space="0" w:color="auto"/>
            </w:tcBorders>
            <w:vAlign w:val="center"/>
            <w:hideMark/>
          </w:tcPr>
          <w:p w14:paraId="4956CFF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22741F9A"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le mois</w:t>
            </w:r>
          </w:p>
        </w:tc>
        <w:tc>
          <w:tcPr>
            <w:tcW w:w="379" w:type="pct"/>
            <w:tcBorders>
              <w:top w:val="nil"/>
              <w:left w:val="nil"/>
              <w:bottom w:val="single" w:sz="4" w:space="0" w:color="auto"/>
              <w:right w:val="single" w:sz="4" w:space="0" w:color="auto"/>
            </w:tcBorders>
            <w:shd w:val="clear" w:color="auto" w:fill="auto"/>
            <w:noWrap/>
            <w:vAlign w:val="center"/>
            <w:hideMark/>
          </w:tcPr>
          <w:p w14:paraId="5BED229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26</w:t>
            </w:r>
          </w:p>
        </w:tc>
        <w:tc>
          <w:tcPr>
            <w:tcW w:w="379" w:type="pct"/>
            <w:tcBorders>
              <w:top w:val="nil"/>
              <w:left w:val="nil"/>
              <w:bottom w:val="single" w:sz="4" w:space="0" w:color="auto"/>
              <w:right w:val="single" w:sz="4" w:space="0" w:color="auto"/>
            </w:tcBorders>
            <w:shd w:val="clear" w:color="auto" w:fill="auto"/>
            <w:noWrap/>
            <w:vAlign w:val="center"/>
            <w:hideMark/>
          </w:tcPr>
          <w:p w14:paraId="33561923"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20*</w:t>
            </w:r>
          </w:p>
        </w:tc>
        <w:tc>
          <w:tcPr>
            <w:tcW w:w="379" w:type="pct"/>
            <w:tcBorders>
              <w:top w:val="nil"/>
              <w:left w:val="nil"/>
              <w:bottom w:val="single" w:sz="4" w:space="0" w:color="auto"/>
              <w:right w:val="single" w:sz="4" w:space="0" w:color="auto"/>
            </w:tcBorders>
            <w:shd w:val="clear" w:color="auto" w:fill="auto"/>
            <w:noWrap/>
            <w:vAlign w:val="center"/>
            <w:hideMark/>
          </w:tcPr>
          <w:p w14:paraId="090F125C"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23*</w:t>
            </w:r>
          </w:p>
        </w:tc>
        <w:tc>
          <w:tcPr>
            <w:tcW w:w="421" w:type="pct"/>
            <w:tcBorders>
              <w:top w:val="nil"/>
              <w:left w:val="nil"/>
              <w:bottom w:val="single" w:sz="4" w:space="0" w:color="auto"/>
              <w:right w:val="single" w:sz="4" w:space="0" w:color="auto"/>
            </w:tcBorders>
            <w:shd w:val="clear" w:color="auto" w:fill="auto"/>
            <w:noWrap/>
            <w:vAlign w:val="center"/>
            <w:hideMark/>
          </w:tcPr>
          <w:p w14:paraId="22400135"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24,2</w:t>
            </w:r>
          </w:p>
        </w:tc>
        <w:tc>
          <w:tcPr>
            <w:tcW w:w="421" w:type="pct"/>
            <w:tcBorders>
              <w:top w:val="nil"/>
              <w:left w:val="nil"/>
              <w:bottom w:val="single" w:sz="4" w:space="0" w:color="auto"/>
              <w:right w:val="single" w:sz="4" w:space="0" w:color="auto"/>
            </w:tcBorders>
            <w:shd w:val="clear" w:color="auto" w:fill="auto"/>
            <w:noWrap/>
            <w:vAlign w:val="center"/>
            <w:hideMark/>
          </w:tcPr>
          <w:p w14:paraId="0C7B010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17,5</w:t>
            </w:r>
          </w:p>
        </w:tc>
        <w:tc>
          <w:tcPr>
            <w:tcW w:w="420" w:type="pct"/>
            <w:tcBorders>
              <w:top w:val="nil"/>
              <w:left w:val="nil"/>
              <w:bottom w:val="single" w:sz="4" w:space="0" w:color="auto"/>
              <w:right w:val="single" w:sz="4" w:space="0" w:color="auto"/>
            </w:tcBorders>
            <w:shd w:val="clear" w:color="auto" w:fill="auto"/>
            <w:noWrap/>
            <w:vAlign w:val="center"/>
            <w:hideMark/>
          </w:tcPr>
          <w:p w14:paraId="65E455C4"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21</w:t>
            </w:r>
          </w:p>
        </w:tc>
      </w:tr>
      <w:tr w:rsidR="00720CB2" w:rsidRPr="00450AA9" w14:paraId="3744D0E5" w14:textId="77777777" w:rsidTr="00720CB2">
        <w:trPr>
          <w:trHeight w:val="300"/>
        </w:trPr>
        <w:tc>
          <w:tcPr>
            <w:tcW w:w="1049" w:type="pct"/>
            <w:vMerge/>
            <w:tcBorders>
              <w:top w:val="nil"/>
              <w:left w:val="single" w:sz="4" w:space="0" w:color="auto"/>
              <w:bottom w:val="single" w:sz="4" w:space="0" w:color="000000"/>
              <w:right w:val="single" w:sz="4" w:space="0" w:color="auto"/>
            </w:tcBorders>
            <w:vAlign w:val="center"/>
            <w:hideMark/>
          </w:tcPr>
          <w:p w14:paraId="41608A6E"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2FAB630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79" w:type="pct"/>
            <w:tcBorders>
              <w:top w:val="nil"/>
              <w:left w:val="nil"/>
              <w:bottom w:val="single" w:sz="4" w:space="0" w:color="auto"/>
              <w:right w:val="single" w:sz="4" w:space="0" w:color="auto"/>
            </w:tcBorders>
            <w:shd w:val="clear" w:color="auto" w:fill="auto"/>
            <w:noWrap/>
            <w:vAlign w:val="center"/>
            <w:hideMark/>
          </w:tcPr>
          <w:p w14:paraId="5D0388F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79" w:type="pct"/>
            <w:tcBorders>
              <w:top w:val="nil"/>
              <w:left w:val="nil"/>
              <w:bottom w:val="single" w:sz="4" w:space="0" w:color="auto"/>
              <w:right w:val="single" w:sz="4" w:space="0" w:color="auto"/>
            </w:tcBorders>
            <w:shd w:val="clear" w:color="auto" w:fill="auto"/>
            <w:noWrap/>
            <w:vAlign w:val="center"/>
            <w:hideMark/>
          </w:tcPr>
          <w:p w14:paraId="6BAA621D"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6*</w:t>
            </w:r>
          </w:p>
        </w:tc>
        <w:tc>
          <w:tcPr>
            <w:tcW w:w="379" w:type="pct"/>
            <w:tcBorders>
              <w:top w:val="nil"/>
              <w:left w:val="nil"/>
              <w:bottom w:val="single" w:sz="4" w:space="0" w:color="auto"/>
              <w:right w:val="single" w:sz="4" w:space="0" w:color="auto"/>
            </w:tcBorders>
            <w:shd w:val="clear" w:color="auto" w:fill="auto"/>
            <w:noWrap/>
            <w:vAlign w:val="center"/>
            <w:hideMark/>
          </w:tcPr>
          <w:p w14:paraId="0282F271" w14:textId="77777777" w:rsidR="00720CB2" w:rsidRPr="00720CB2" w:rsidRDefault="00720CB2" w:rsidP="00720CB2">
            <w:pPr>
              <w:spacing w:after="0"/>
              <w:jc w:val="center"/>
              <w:rPr>
                <w:rFonts w:ascii="Calibri" w:hAnsi="Calibri"/>
                <w:color w:val="FF0000"/>
                <w:sz w:val="14"/>
                <w:szCs w:val="14"/>
              </w:rPr>
            </w:pPr>
            <w:r w:rsidRPr="00720CB2">
              <w:rPr>
                <w:rFonts w:ascii="Calibri" w:hAnsi="Calibri"/>
                <w:color w:val="FF0000"/>
                <w:sz w:val="14"/>
                <w:szCs w:val="14"/>
              </w:rPr>
              <w:t>8*</w:t>
            </w:r>
          </w:p>
        </w:tc>
        <w:tc>
          <w:tcPr>
            <w:tcW w:w="421" w:type="pct"/>
            <w:tcBorders>
              <w:top w:val="nil"/>
              <w:left w:val="nil"/>
              <w:bottom w:val="single" w:sz="4" w:space="0" w:color="auto"/>
              <w:right w:val="single" w:sz="4" w:space="0" w:color="auto"/>
            </w:tcBorders>
            <w:shd w:val="clear" w:color="auto" w:fill="auto"/>
            <w:noWrap/>
            <w:vAlign w:val="center"/>
            <w:hideMark/>
          </w:tcPr>
          <w:p w14:paraId="749B8EE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9,7</w:t>
            </w:r>
          </w:p>
        </w:tc>
        <w:tc>
          <w:tcPr>
            <w:tcW w:w="421" w:type="pct"/>
            <w:tcBorders>
              <w:top w:val="nil"/>
              <w:left w:val="nil"/>
              <w:bottom w:val="single" w:sz="4" w:space="0" w:color="auto"/>
              <w:right w:val="single" w:sz="4" w:space="0" w:color="auto"/>
            </w:tcBorders>
            <w:shd w:val="clear" w:color="auto" w:fill="auto"/>
            <w:noWrap/>
            <w:vAlign w:val="center"/>
            <w:hideMark/>
          </w:tcPr>
          <w:p w14:paraId="0EC6E495"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4,5</w:t>
            </w:r>
          </w:p>
        </w:tc>
        <w:tc>
          <w:tcPr>
            <w:tcW w:w="420" w:type="pct"/>
            <w:tcBorders>
              <w:top w:val="nil"/>
              <w:left w:val="nil"/>
              <w:bottom w:val="single" w:sz="4" w:space="0" w:color="auto"/>
              <w:right w:val="single" w:sz="4" w:space="0" w:color="auto"/>
            </w:tcBorders>
            <w:shd w:val="clear" w:color="auto" w:fill="auto"/>
            <w:noWrap/>
            <w:vAlign w:val="center"/>
            <w:hideMark/>
          </w:tcPr>
          <w:p w14:paraId="7F3BE172"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7,2</w:t>
            </w:r>
          </w:p>
        </w:tc>
      </w:tr>
      <w:tr w:rsidR="00720CB2" w:rsidRPr="00450AA9" w14:paraId="00519CE5"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660EAC0B"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Poppers</w:t>
            </w:r>
          </w:p>
        </w:tc>
        <w:tc>
          <w:tcPr>
            <w:tcW w:w="1552" w:type="pct"/>
            <w:tcBorders>
              <w:top w:val="nil"/>
              <w:left w:val="nil"/>
              <w:bottom w:val="single" w:sz="4" w:space="0" w:color="auto"/>
              <w:right w:val="single" w:sz="4" w:space="0" w:color="auto"/>
            </w:tcBorders>
            <w:shd w:val="clear" w:color="auto" w:fill="auto"/>
            <w:noWrap/>
            <w:vAlign w:val="center"/>
            <w:hideMark/>
          </w:tcPr>
          <w:p w14:paraId="5BEB0D71"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636F940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11</w:t>
            </w:r>
          </w:p>
        </w:tc>
        <w:tc>
          <w:tcPr>
            <w:tcW w:w="379" w:type="pct"/>
            <w:tcBorders>
              <w:top w:val="nil"/>
              <w:left w:val="nil"/>
              <w:bottom w:val="single" w:sz="4" w:space="0" w:color="auto"/>
              <w:right w:val="single" w:sz="4" w:space="0" w:color="auto"/>
            </w:tcBorders>
            <w:shd w:val="clear" w:color="auto" w:fill="auto"/>
            <w:noWrap/>
            <w:vAlign w:val="center"/>
            <w:hideMark/>
          </w:tcPr>
          <w:p w14:paraId="4A8E7A34"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8</w:t>
            </w:r>
          </w:p>
        </w:tc>
        <w:tc>
          <w:tcPr>
            <w:tcW w:w="379" w:type="pct"/>
            <w:tcBorders>
              <w:top w:val="nil"/>
              <w:left w:val="nil"/>
              <w:bottom w:val="single" w:sz="4" w:space="0" w:color="auto"/>
              <w:right w:val="single" w:sz="4" w:space="0" w:color="auto"/>
            </w:tcBorders>
            <w:shd w:val="clear" w:color="auto" w:fill="auto"/>
            <w:noWrap/>
            <w:vAlign w:val="center"/>
            <w:hideMark/>
          </w:tcPr>
          <w:p w14:paraId="56F2F66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10</w:t>
            </w:r>
          </w:p>
        </w:tc>
        <w:tc>
          <w:tcPr>
            <w:tcW w:w="421" w:type="pct"/>
            <w:tcBorders>
              <w:top w:val="nil"/>
              <w:left w:val="nil"/>
              <w:bottom w:val="single" w:sz="4" w:space="0" w:color="auto"/>
              <w:right w:val="single" w:sz="4" w:space="0" w:color="auto"/>
            </w:tcBorders>
            <w:shd w:val="clear" w:color="auto" w:fill="auto"/>
            <w:noWrap/>
            <w:vAlign w:val="center"/>
            <w:hideMark/>
          </w:tcPr>
          <w:p w14:paraId="41E4B61F"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9,5</w:t>
            </w:r>
          </w:p>
        </w:tc>
        <w:tc>
          <w:tcPr>
            <w:tcW w:w="421" w:type="pct"/>
            <w:tcBorders>
              <w:top w:val="nil"/>
              <w:left w:val="nil"/>
              <w:bottom w:val="single" w:sz="4" w:space="0" w:color="auto"/>
              <w:right w:val="single" w:sz="4" w:space="0" w:color="auto"/>
            </w:tcBorders>
            <w:shd w:val="clear" w:color="auto" w:fill="auto"/>
            <w:noWrap/>
            <w:vAlign w:val="center"/>
            <w:hideMark/>
          </w:tcPr>
          <w:p w14:paraId="7E2BAD22"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w:t>
            </w:r>
          </w:p>
        </w:tc>
        <w:tc>
          <w:tcPr>
            <w:tcW w:w="420" w:type="pct"/>
            <w:tcBorders>
              <w:top w:val="nil"/>
              <w:left w:val="nil"/>
              <w:bottom w:val="single" w:sz="4" w:space="0" w:color="auto"/>
              <w:right w:val="single" w:sz="4" w:space="0" w:color="auto"/>
            </w:tcBorders>
            <w:shd w:val="clear" w:color="auto" w:fill="auto"/>
            <w:noWrap/>
            <w:vAlign w:val="center"/>
            <w:hideMark/>
          </w:tcPr>
          <w:p w14:paraId="6C9DE470"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8,8</w:t>
            </w:r>
          </w:p>
        </w:tc>
      </w:tr>
      <w:tr w:rsidR="00720CB2" w:rsidRPr="00450AA9" w14:paraId="5FDB3367"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55FCA89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Cocaïne</w:t>
            </w:r>
          </w:p>
        </w:tc>
        <w:tc>
          <w:tcPr>
            <w:tcW w:w="1552" w:type="pct"/>
            <w:tcBorders>
              <w:top w:val="nil"/>
              <w:left w:val="nil"/>
              <w:bottom w:val="single" w:sz="4" w:space="0" w:color="auto"/>
              <w:right w:val="single" w:sz="4" w:space="0" w:color="auto"/>
            </w:tcBorders>
            <w:shd w:val="clear" w:color="auto" w:fill="auto"/>
            <w:noWrap/>
            <w:vAlign w:val="center"/>
            <w:hideMark/>
          </w:tcPr>
          <w:p w14:paraId="58DBEFC3"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0889E45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2D09583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5A89E67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421" w:type="pct"/>
            <w:tcBorders>
              <w:top w:val="nil"/>
              <w:left w:val="nil"/>
              <w:bottom w:val="single" w:sz="4" w:space="0" w:color="auto"/>
              <w:right w:val="single" w:sz="4" w:space="0" w:color="auto"/>
            </w:tcBorders>
            <w:shd w:val="clear" w:color="auto" w:fill="auto"/>
            <w:noWrap/>
            <w:vAlign w:val="center"/>
            <w:hideMark/>
          </w:tcPr>
          <w:p w14:paraId="775B0459" w14:textId="77777777" w:rsidR="00720CB2" w:rsidRPr="00450AA9" w:rsidRDefault="00720CB2" w:rsidP="00720CB2">
            <w:pPr>
              <w:spacing w:after="0" w:line="240" w:lineRule="auto"/>
              <w:jc w:val="center"/>
              <w:rPr>
                <w:rFonts w:ascii="Calibri" w:eastAsia="Times New Roman" w:hAnsi="Calibri" w:cs="Times New Roman"/>
                <w:i/>
                <w:iCs/>
                <w:color w:val="000000"/>
                <w:sz w:val="14"/>
                <w:szCs w:val="14"/>
                <w:lang w:eastAsia="fr-FR"/>
              </w:rPr>
            </w:pPr>
            <w:r w:rsidRPr="00450AA9">
              <w:rPr>
                <w:rFonts w:ascii="Calibri" w:eastAsia="Times New Roman" w:hAnsi="Calibri" w:cs="Times New Roman"/>
                <w:i/>
                <w:iCs/>
                <w:color w:val="000000"/>
                <w:sz w:val="14"/>
                <w:szCs w:val="14"/>
                <w:lang w:eastAsia="fr-FR"/>
              </w:rPr>
              <w:t>3,1</w:t>
            </w:r>
          </w:p>
        </w:tc>
        <w:tc>
          <w:tcPr>
            <w:tcW w:w="421" w:type="pct"/>
            <w:tcBorders>
              <w:top w:val="nil"/>
              <w:left w:val="nil"/>
              <w:bottom w:val="single" w:sz="4" w:space="0" w:color="auto"/>
              <w:right w:val="single" w:sz="4" w:space="0" w:color="auto"/>
            </w:tcBorders>
            <w:shd w:val="clear" w:color="auto" w:fill="auto"/>
            <w:noWrap/>
            <w:vAlign w:val="center"/>
            <w:hideMark/>
          </w:tcPr>
          <w:p w14:paraId="79C2AF1B" w14:textId="77777777" w:rsidR="00720CB2" w:rsidRPr="00450AA9" w:rsidRDefault="00720CB2" w:rsidP="00720CB2">
            <w:pPr>
              <w:spacing w:after="0" w:line="240" w:lineRule="auto"/>
              <w:jc w:val="center"/>
              <w:rPr>
                <w:rFonts w:ascii="Calibri" w:eastAsia="Times New Roman" w:hAnsi="Calibri" w:cs="Times New Roman"/>
                <w:i/>
                <w:iCs/>
                <w:color w:val="000000"/>
                <w:sz w:val="14"/>
                <w:szCs w:val="14"/>
                <w:lang w:eastAsia="fr-FR"/>
              </w:rPr>
            </w:pPr>
            <w:r w:rsidRPr="00450AA9">
              <w:rPr>
                <w:rFonts w:ascii="Calibri" w:eastAsia="Times New Roman" w:hAnsi="Calibri" w:cs="Times New Roman"/>
                <w:i/>
                <w:iCs/>
                <w:color w:val="000000"/>
                <w:sz w:val="14"/>
                <w:szCs w:val="14"/>
                <w:lang w:eastAsia="fr-FR"/>
              </w:rPr>
              <w:t>2,4</w:t>
            </w:r>
          </w:p>
        </w:tc>
        <w:tc>
          <w:tcPr>
            <w:tcW w:w="420" w:type="pct"/>
            <w:tcBorders>
              <w:top w:val="nil"/>
              <w:left w:val="nil"/>
              <w:bottom w:val="single" w:sz="4" w:space="0" w:color="auto"/>
              <w:right w:val="single" w:sz="4" w:space="0" w:color="auto"/>
            </w:tcBorders>
            <w:shd w:val="clear" w:color="auto" w:fill="auto"/>
            <w:noWrap/>
            <w:vAlign w:val="center"/>
            <w:hideMark/>
          </w:tcPr>
          <w:p w14:paraId="3CC4AADA" w14:textId="77777777" w:rsidR="00720CB2" w:rsidRPr="00450AA9" w:rsidRDefault="00720CB2" w:rsidP="00720CB2">
            <w:pPr>
              <w:spacing w:after="0" w:line="240" w:lineRule="auto"/>
              <w:jc w:val="center"/>
              <w:rPr>
                <w:rFonts w:ascii="Calibri" w:eastAsia="Times New Roman" w:hAnsi="Calibri" w:cs="Times New Roman"/>
                <w:i/>
                <w:iCs/>
                <w:color w:val="000000"/>
                <w:sz w:val="14"/>
                <w:szCs w:val="14"/>
                <w:lang w:eastAsia="fr-FR"/>
              </w:rPr>
            </w:pPr>
            <w:r w:rsidRPr="00450AA9">
              <w:rPr>
                <w:rFonts w:ascii="Calibri" w:eastAsia="Times New Roman" w:hAnsi="Calibri" w:cs="Times New Roman"/>
                <w:i/>
                <w:iCs/>
                <w:color w:val="000000"/>
                <w:sz w:val="14"/>
                <w:szCs w:val="14"/>
                <w:lang w:eastAsia="fr-FR"/>
              </w:rPr>
              <w:t>2,8</w:t>
            </w:r>
          </w:p>
        </w:tc>
      </w:tr>
      <w:tr w:rsidR="00720CB2" w:rsidRPr="00450AA9" w14:paraId="4BA1D7AB"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774FD7D2"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MDMA/ecstasy</w:t>
            </w:r>
          </w:p>
        </w:tc>
        <w:tc>
          <w:tcPr>
            <w:tcW w:w="1552" w:type="pct"/>
            <w:tcBorders>
              <w:top w:val="nil"/>
              <w:left w:val="nil"/>
              <w:bottom w:val="single" w:sz="4" w:space="0" w:color="auto"/>
              <w:right w:val="single" w:sz="4" w:space="0" w:color="auto"/>
            </w:tcBorders>
            <w:shd w:val="clear" w:color="auto" w:fill="auto"/>
            <w:noWrap/>
            <w:vAlign w:val="center"/>
            <w:hideMark/>
          </w:tcPr>
          <w:p w14:paraId="4D179896"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1D4591B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center"/>
            <w:hideMark/>
          </w:tcPr>
          <w:p w14:paraId="10F4613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0A4344BE"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421" w:type="pct"/>
            <w:tcBorders>
              <w:top w:val="nil"/>
              <w:left w:val="nil"/>
              <w:bottom w:val="single" w:sz="4" w:space="0" w:color="auto"/>
              <w:right w:val="single" w:sz="4" w:space="0" w:color="auto"/>
            </w:tcBorders>
            <w:shd w:val="clear" w:color="auto" w:fill="auto"/>
            <w:noWrap/>
            <w:vAlign w:val="center"/>
            <w:hideMark/>
          </w:tcPr>
          <w:p w14:paraId="51B0EFD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3,9</w:t>
            </w:r>
          </w:p>
        </w:tc>
        <w:tc>
          <w:tcPr>
            <w:tcW w:w="421" w:type="pct"/>
            <w:tcBorders>
              <w:top w:val="nil"/>
              <w:left w:val="nil"/>
              <w:bottom w:val="single" w:sz="4" w:space="0" w:color="auto"/>
              <w:right w:val="single" w:sz="4" w:space="0" w:color="auto"/>
            </w:tcBorders>
            <w:shd w:val="clear" w:color="auto" w:fill="auto"/>
            <w:noWrap/>
            <w:vAlign w:val="center"/>
            <w:hideMark/>
          </w:tcPr>
          <w:p w14:paraId="0BEEA5AA"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2,8</w:t>
            </w:r>
          </w:p>
        </w:tc>
        <w:tc>
          <w:tcPr>
            <w:tcW w:w="420" w:type="pct"/>
            <w:tcBorders>
              <w:top w:val="nil"/>
              <w:left w:val="nil"/>
              <w:bottom w:val="single" w:sz="4" w:space="0" w:color="auto"/>
              <w:right w:val="single" w:sz="4" w:space="0" w:color="auto"/>
            </w:tcBorders>
            <w:shd w:val="clear" w:color="auto" w:fill="auto"/>
            <w:noWrap/>
            <w:vAlign w:val="center"/>
            <w:hideMark/>
          </w:tcPr>
          <w:p w14:paraId="5D561CF5"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3,4</w:t>
            </w:r>
          </w:p>
        </w:tc>
      </w:tr>
      <w:tr w:rsidR="00720CB2" w:rsidRPr="00450AA9" w14:paraId="3844E2A3"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1ADB8DD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Champignons hallucinogènes</w:t>
            </w:r>
          </w:p>
        </w:tc>
        <w:tc>
          <w:tcPr>
            <w:tcW w:w="1552" w:type="pct"/>
            <w:tcBorders>
              <w:top w:val="nil"/>
              <w:left w:val="nil"/>
              <w:bottom w:val="single" w:sz="4" w:space="0" w:color="auto"/>
              <w:right w:val="single" w:sz="4" w:space="0" w:color="auto"/>
            </w:tcBorders>
            <w:shd w:val="clear" w:color="auto" w:fill="auto"/>
            <w:noWrap/>
            <w:vAlign w:val="center"/>
            <w:hideMark/>
          </w:tcPr>
          <w:p w14:paraId="73DD5F52"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0E9ED46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4</w:t>
            </w:r>
          </w:p>
        </w:tc>
        <w:tc>
          <w:tcPr>
            <w:tcW w:w="379" w:type="pct"/>
            <w:tcBorders>
              <w:top w:val="nil"/>
              <w:left w:val="nil"/>
              <w:bottom w:val="single" w:sz="4" w:space="0" w:color="auto"/>
              <w:right w:val="single" w:sz="4" w:space="0" w:color="auto"/>
            </w:tcBorders>
            <w:shd w:val="clear" w:color="auto" w:fill="auto"/>
            <w:noWrap/>
            <w:vAlign w:val="center"/>
            <w:hideMark/>
          </w:tcPr>
          <w:p w14:paraId="7E47914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1A9DB939"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3</w:t>
            </w:r>
          </w:p>
        </w:tc>
        <w:tc>
          <w:tcPr>
            <w:tcW w:w="421" w:type="pct"/>
            <w:tcBorders>
              <w:top w:val="nil"/>
              <w:left w:val="nil"/>
              <w:bottom w:val="single" w:sz="4" w:space="0" w:color="auto"/>
              <w:right w:val="single" w:sz="4" w:space="0" w:color="auto"/>
            </w:tcBorders>
            <w:shd w:val="clear" w:color="auto" w:fill="auto"/>
            <w:noWrap/>
            <w:vAlign w:val="center"/>
            <w:hideMark/>
          </w:tcPr>
          <w:p w14:paraId="2FD78491"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3,6</w:t>
            </w:r>
          </w:p>
        </w:tc>
        <w:tc>
          <w:tcPr>
            <w:tcW w:w="421" w:type="pct"/>
            <w:tcBorders>
              <w:top w:val="nil"/>
              <w:left w:val="nil"/>
              <w:bottom w:val="single" w:sz="4" w:space="0" w:color="auto"/>
              <w:right w:val="single" w:sz="4" w:space="0" w:color="auto"/>
            </w:tcBorders>
            <w:shd w:val="clear" w:color="auto" w:fill="auto"/>
            <w:noWrap/>
            <w:vAlign w:val="center"/>
            <w:hideMark/>
          </w:tcPr>
          <w:p w14:paraId="7A0585B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1,9</w:t>
            </w:r>
          </w:p>
        </w:tc>
        <w:tc>
          <w:tcPr>
            <w:tcW w:w="420" w:type="pct"/>
            <w:tcBorders>
              <w:top w:val="nil"/>
              <w:left w:val="nil"/>
              <w:bottom w:val="single" w:sz="4" w:space="0" w:color="auto"/>
              <w:right w:val="single" w:sz="4" w:space="0" w:color="auto"/>
            </w:tcBorders>
            <w:shd w:val="clear" w:color="auto" w:fill="auto"/>
            <w:noWrap/>
            <w:vAlign w:val="center"/>
            <w:hideMark/>
          </w:tcPr>
          <w:p w14:paraId="40E8A66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2,8</w:t>
            </w:r>
          </w:p>
        </w:tc>
      </w:tr>
      <w:tr w:rsidR="00720CB2" w:rsidRPr="00450AA9" w14:paraId="6E7EE62A"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45B74E8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LSD</w:t>
            </w:r>
          </w:p>
        </w:tc>
        <w:tc>
          <w:tcPr>
            <w:tcW w:w="1552" w:type="pct"/>
            <w:tcBorders>
              <w:top w:val="nil"/>
              <w:left w:val="nil"/>
              <w:bottom w:val="single" w:sz="4" w:space="0" w:color="auto"/>
              <w:right w:val="single" w:sz="4" w:space="0" w:color="auto"/>
            </w:tcBorders>
            <w:shd w:val="clear" w:color="auto" w:fill="auto"/>
            <w:noWrap/>
            <w:vAlign w:val="center"/>
            <w:hideMark/>
          </w:tcPr>
          <w:p w14:paraId="244D27B4"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EF8EBD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6E7DAECA"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66A760F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421" w:type="pct"/>
            <w:tcBorders>
              <w:top w:val="nil"/>
              <w:left w:val="nil"/>
              <w:bottom w:val="single" w:sz="4" w:space="0" w:color="auto"/>
              <w:right w:val="single" w:sz="4" w:space="0" w:color="auto"/>
            </w:tcBorders>
            <w:shd w:val="clear" w:color="auto" w:fill="auto"/>
            <w:noWrap/>
            <w:vAlign w:val="center"/>
            <w:hideMark/>
          </w:tcPr>
          <w:p w14:paraId="3E408913"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1,9</w:t>
            </w:r>
          </w:p>
        </w:tc>
        <w:tc>
          <w:tcPr>
            <w:tcW w:w="421" w:type="pct"/>
            <w:tcBorders>
              <w:top w:val="nil"/>
              <w:left w:val="nil"/>
              <w:bottom w:val="single" w:sz="4" w:space="0" w:color="auto"/>
              <w:right w:val="single" w:sz="4" w:space="0" w:color="auto"/>
            </w:tcBorders>
            <w:shd w:val="clear" w:color="auto" w:fill="auto"/>
            <w:noWrap/>
            <w:vAlign w:val="center"/>
            <w:hideMark/>
          </w:tcPr>
          <w:p w14:paraId="4CD77C76"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1,2</w:t>
            </w:r>
          </w:p>
        </w:tc>
        <w:tc>
          <w:tcPr>
            <w:tcW w:w="420" w:type="pct"/>
            <w:tcBorders>
              <w:top w:val="nil"/>
              <w:left w:val="nil"/>
              <w:bottom w:val="single" w:sz="4" w:space="0" w:color="auto"/>
              <w:right w:val="single" w:sz="4" w:space="0" w:color="auto"/>
            </w:tcBorders>
            <w:shd w:val="clear" w:color="auto" w:fill="auto"/>
            <w:noWrap/>
            <w:vAlign w:val="center"/>
            <w:hideMark/>
          </w:tcPr>
          <w:p w14:paraId="01CE9D8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1,6</w:t>
            </w:r>
          </w:p>
        </w:tc>
      </w:tr>
      <w:tr w:rsidR="00720CB2" w:rsidRPr="00450AA9" w14:paraId="75757E30"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1550BF17"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Amphétamines</w:t>
            </w:r>
          </w:p>
        </w:tc>
        <w:tc>
          <w:tcPr>
            <w:tcW w:w="1552" w:type="pct"/>
            <w:tcBorders>
              <w:top w:val="nil"/>
              <w:left w:val="nil"/>
              <w:bottom w:val="single" w:sz="4" w:space="0" w:color="auto"/>
              <w:right w:val="single" w:sz="4" w:space="0" w:color="auto"/>
            </w:tcBorders>
            <w:shd w:val="clear" w:color="auto" w:fill="auto"/>
            <w:noWrap/>
            <w:vAlign w:val="center"/>
            <w:hideMark/>
          </w:tcPr>
          <w:p w14:paraId="55BF9A10"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286474F"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646A5FF6"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5FF05E65"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2</w:t>
            </w:r>
          </w:p>
        </w:tc>
        <w:tc>
          <w:tcPr>
            <w:tcW w:w="421" w:type="pct"/>
            <w:tcBorders>
              <w:top w:val="nil"/>
              <w:left w:val="nil"/>
              <w:bottom w:val="single" w:sz="4" w:space="0" w:color="auto"/>
              <w:right w:val="single" w:sz="4" w:space="0" w:color="auto"/>
            </w:tcBorders>
            <w:shd w:val="clear" w:color="auto" w:fill="auto"/>
            <w:noWrap/>
            <w:vAlign w:val="center"/>
            <w:hideMark/>
          </w:tcPr>
          <w:p w14:paraId="23623677"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2,8</w:t>
            </w:r>
          </w:p>
        </w:tc>
        <w:tc>
          <w:tcPr>
            <w:tcW w:w="421" w:type="pct"/>
            <w:tcBorders>
              <w:top w:val="nil"/>
              <w:left w:val="nil"/>
              <w:bottom w:val="single" w:sz="4" w:space="0" w:color="auto"/>
              <w:right w:val="single" w:sz="4" w:space="0" w:color="auto"/>
            </w:tcBorders>
            <w:shd w:val="clear" w:color="auto" w:fill="auto"/>
            <w:noWrap/>
            <w:vAlign w:val="center"/>
            <w:hideMark/>
          </w:tcPr>
          <w:p w14:paraId="09D02AAE"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1,8</w:t>
            </w:r>
          </w:p>
        </w:tc>
        <w:tc>
          <w:tcPr>
            <w:tcW w:w="420" w:type="pct"/>
            <w:tcBorders>
              <w:top w:val="nil"/>
              <w:left w:val="nil"/>
              <w:bottom w:val="single" w:sz="4" w:space="0" w:color="auto"/>
              <w:right w:val="single" w:sz="4" w:space="0" w:color="auto"/>
            </w:tcBorders>
            <w:shd w:val="clear" w:color="auto" w:fill="auto"/>
            <w:noWrap/>
            <w:vAlign w:val="center"/>
            <w:hideMark/>
          </w:tcPr>
          <w:p w14:paraId="12021893"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2,3</w:t>
            </w:r>
          </w:p>
        </w:tc>
      </w:tr>
      <w:tr w:rsidR="00720CB2" w:rsidRPr="00450AA9" w14:paraId="263E49AF"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76FFE2"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Héroïne</w:t>
            </w:r>
          </w:p>
        </w:tc>
        <w:tc>
          <w:tcPr>
            <w:tcW w:w="1552" w:type="pct"/>
            <w:tcBorders>
              <w:top w:val="nil"/>
              <w:left w:val="nil"/>
              <w:bottom w:val="single" w:sz="4" w:space="0" w:color="auto"/>
              <w:right w:val="single" w:sz="4" w:space="0" w:color="auto"/>
            </w:tcBorders>
            <w:shd w:val="clear" w:color="auto" w:fill="auto"/>
            <w:noWrap/>
            <w:vAlign w:val="center"/>
            <w:hideMark/>
          </w:tcPr>
          <w:p w14:paraId="6B435219"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10B1707C"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0235120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4900526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2C653EEA"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0,7</w:t>
            </w:r>
          </w:p>
        </w:tc>
        <w:tc>
          <w:tcPr>
            <w:tcW w:w="421" w:type="pct"/>
            <w:tcBorders>
              <w:top w:val="nil"/>
              <w:left w:val="nil"/>
              <w:bottom w:val="single" w:sz="4" w:space="0" w:color="auto"/>
              <w:right w:val="single" w:sz="4" w:space="0" w:color="auto"/>
            </w:tcBorders>
            <w:shd w:val="clear" w:color="auto" w:fill="auto"/>
            <w:noWrap/>
            <w:vAlign w:val="center"/>
            <w:hideMark/>
          </w:tcPr>
          <w:p w14:paraId="432B622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c>
          <w:tcPr>
            <w:tcW w:w="420" w:type="pct"/>
            <w:tcBorders>
              <w:top w:val="nil"/>
              <w:left w:val="nil"/>
              <w:bottom w:val="single" w:sz="4" w:space="0" w:color="auto"/>
              <w:right w:val="single" w:sz="4" w:space="0" w:color="auto"/>
            </w:tcBorders>
            <w:shd w:val="clear" w:color="auto" w:fill="auto"/>
            <w:noWrap/>
            <w:vAlign w:val="center"/>
            <w:hideMark/>
          </w:tcPr>
          <w:p w14:paraId="72619FD9"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0,7</w:t>
            </w:r>
          </w:p>
        </w:tc>
      </w:tr>
      <w:tr w:rsidR="00720CB2" w:rsidRPr="00450AA9" w14:paraId="246DDD49" w14:textId="77777777" w:rsidTr="00720CB2">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E9D902C"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Crack</w:t>
            </w:r>
          </w:p>
        </w:tc>
        <w:tc>
          <w:tcPr>
            <w:tcW w:w="1552" w:type="pct"/>
            <w:tcBorders>
              <w:top w:val="nil"/>
              <w:left w:val="nil"/>
              <w:bottom w:val="single" w:sz="4" w:space="0" w:color="auto"/>
              <w:right w:val="single" w:sz="4" w:space="0" w:color="auto"/>
            </w:tcBorders>
            <w:shd w:val="clear" w:color="auto" w:fill="auto"/>
            <w:noWrap/>
            <w:vAlign w:val="center"/>
            <w:hideMark/>
          </w:tcPr>
          <w:p w14:paraId="3DB0BA68" w14:textId="77777777" w:rsidR="00720CB2" w:rsidRPr="00450AA9" w:rsidRDefault="00720CB2" w:rsidP="00720CB2">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FEBFA21"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5AE78F5D"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0073D8A7" w14:textId="77777777" w:rsidR="00720CB2" w:rsidRPr="00720CB2" w:rsidRDefault="00720CB2" w:rsidP="00720CB2">
            <w:pPr>
              <w:spacing w:after="0"/>
              <w:jc w:val="center"/>
              <w:rPr>
                <w:rFonts w:ascii="Calibri" w:hAnsi="Calibri"/>
                <w:color w:val="000000"/>
                <w:sz w:val="14"/>
                <w:szCs w:val="14"/>
              </w:rPr>
            </w:pPr>
            <w:r w:rsidRPr="00720CB2">
              <w:rPr>
                <w:rFonts w:ascii="Calibri" w:hAnsi="Calibri"/>
                <w:color w:val="00000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774B276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c>
          <w:tcPr>
            <w:tcW w:w="421" w:type="pct"/>
            <w:tcBorders>
              <w:top w:val="nil"/>
              <w:left w:val="nil"/>
              <w:bottom w:val="single" w:sz="4" w:space="0" w:color="auto"/>
              <w:right w:val="single" w:sz="4" w:space="0" w:color="auto"/>
            </w:tcBorders>
            <w:shd w:val="clear" w:color="auto" w:fill="auto"/>
            <w:noWrap/>
            <w:vAlign w:val="center"/>
            <w:hideMark/>
          </w:tcPr>
          <w:p w14:paraId="1934799C"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c>
          <w:tcPr>
            <w:tcW w:w="420" w:type="pct"/>
            <w:tcBorders>
              <w:top w:val="nil"/>
              <w:left w:val="nil"/>
              <w:bottom w:val="single" w:sz="4" w:space="0" w:color="auto"/>
              <w:right w:val="single" w:sz="4" w:space="0" w:color="auto"/>
            </w:tcBorders>
            <w:shd w:val="clear" w:color="auto" w:fill="auto"/>
            <w:noWrap/>
            <w:vAlign w:val="center"/>
            <w:hideMark/>
          </w:tcPr>
          <w:p w14:paraId="0D2A222D" w14:textId="77777777" w:rsidR="00720CB2" w:rsidRPr="00450AA9" w:rsidRDefault="00720CB2" w:rsidP="00720CB2">
            <w:pPr>
              <w:spacing w:after="0" w:line="240" w:lineRule="auto"/>
              <w:jc w:val="center"/>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0,6</w:t>
            </w:r>
          </w:p>
        </w:tc>
      </w:tr>
    </w:tbl>
    <w:p w14:paraId="25CEF131" w14:textId="77777777" w:rsidR="00450AA9" w:rsidRDefault="00450AA9" w:rsidP="008361EB">
      <w:pPr>
        <w:pStyle w:val="Sous-titre"/>
      </w:pPr>
      <w:r w:rsidRPr="00450AA9">
        <w:t>Source : ESCAPAD 2017</w:t>
      </w:r>
      <w:r>
        <w:t>, OFDT</w:t>
      </w:r>
    </w:p>
    <w:p w14:paraId="73C4D18D" w14:textId="77777777" w:rsidR="00664412" w:rsidRDefault="00664412" w:rsidP="00664412">
      <w:pPr>
        <w:spacing w:before="5" w:after="0" w:line="242" w:lineRule="auto"/>
        <w:ind w:right="527"/>
        <w:rPr>
          <w:rFonts w:ascii="Eurocrat" w:hAnsi="Eurocrat"/>
          <w:color w:val="4A4948"/>
          <w:sz w:val="14"/>
          <w:szCs w:val="14"/>
        </w:rPr>
      </w:pPr>
      <w:r>
        <w:rPr>
          <w:rFonts w:ascii="Eurocrat" w:hAnsi="Eurocrat"/>
          <w:color w:val="4A4948"/>
          <w:sz w:val="14"/>
          <w:szCs w:val="14"/>
        </w:rPr>
        <w:t>Note : Les prévalences régionales sont arrondies à l’unité près pour des raisons d’effectif.</w:t>
      </w:r>
    </w:p>
    <w:p w14:paraId="36ED0DF7" w14:textId="65BF25B3" w:rsidR="00450AA9" w:rsidRDefault="00450AA9" w:rsidP="00450AA9">
      <w:pPr>
        <w:spacing w:before="5" w:line="242" w:lineRule="auto"/>
        <w:ind w:right="529"/>
        <w:rPr>
          <w:rFonts w:ascii="Eurocrat" w:hAnsi="Eurocrat"/>
          <w:color w:val="4A4948"/>
          <w:sz w:val="14"/>
          <w:szCs w:val="14"/>
        </w:rPr>
      </w:pPr>
      <w:r>
        <w:rPr>
          <w:rFonts w:ascii="Eurocrat" w:hAnsi="Eurocrat"/>
          <w:color w:val="4A4948"/>
          <w:sz w:val="14"/>
          <w:szCs w:val="14"/>
        </w:rPr>
        <w:t xml:space="preserve">Note de lecture : </w:t>
      </w:r>
      <w:r w:rsidR="00720CB2">
        <w:rPr>
          <w:rFonts w:ascii="Eurocrat" w:hAnsi="Eurocrat"/>
          <w:color w:val="FF0000"/>
          <w:sz w:val="14"/>
          <w:szCs w:val="14"/>
        </w:rPr>
        <w:t>63</w:t>
      </w:r>
      <w:r w:rsidRPr="00720CB2">
        <w:rPr>
          <w:rFonts w:ascii="Eurocrat" w:hAnsi="Eurocrat"/>
          <w:color w:val="FF0000"/>
          <w:sz w:val="14"/>
          <w:szCs w:val="14"/>
        </w:rPr>
        <w:t>*</w:t>
      </w:r>
      <w:r>
        <w:rPr>
          <w:rFonts w:ascii="Eurocrat" w:hAnsi="Eurocrat"/>
          <w:color w:val="00B050"/>
          <w:sz w:val="14"/>
          <w:szCs w:val="14"/>
        </w:rPr>
        <w:t xml:space="preserve"> </w:t>
      </w:r>
      <w:r>
        <w:rPr>
          <w:rFonts w:ascii="Eurocrat" w:hAnsi="Eurocrat"/>
          <w:color w:val="4A4948"/>
          <w:sz w:val="14"/>
          <w:szCs w:val="14"/>
        </w:rPr>
        <w:t>signifie que l</w:t>
      </w:r>
      <w:r w:rsidR="00720CB2">
        <w:rPr>
          <w:rFonts w:ascii="Eurocrat" w:hAnsi="Eurocrat"/>
          <w:color w:val="4A4948"/>
          <w:sz w:val="14"/>
          <w:szCs w:val="14"/>
        </w:rPr>
        <w:t>e niveau d</w:t>
      </w:r>
      <w:r>
        <w:rPr>
          <w:rFonts w:ascii="Eurocrat" w:hAnsi="Eurocrat"/>
          <w:color w:val="4A4948"/>
          <w:sz w:val="14"/>
          <w:szCs w:val="14"/>
        </w:rPr>
        <w:t xml:space="preserve">’expérimentation de tabac dans la région est </w:t>
      </w:r>
      <w:r w:rsidR="00720CB2">
        <w:rPr>
          <w:rFonts w:ascii="Eurocrat" w:hAnsi="Eurocrat"/>
          <w:color w:val="4A4948"/>
          <w:sz w:val="14"/>
          <w:szCs w:val="14"/>
        </w:rPr>
        <w:t>supérieur</w:t>
      </w:r>
      <w:r>
        <w:rPr>
          <w:rFonts w:ascii="Eurocrat" w:hAnsi="Eurocrat"/>
          <w:color w:val="4A4948"/>
          <w:sz w:val="14"/>
          <w:szCs w:val="14"/>
        </w:rPr>
        <w:t xml:space="preserve"> </w:t>
      </w:r>
      <w:r w:rsidR="001811D6">
        <w:rPr>
          <w:rFonts w:ascii="Eurocrat" w:hAnsi="Eurocrat"/>
          <w:color w:val="4A4948"/>
          <w:sz w:val="14"/>
          <w:szCs w:val="14"/>
        </w:rPr>
        <w:t xml:space="preserve">(test de Chi2 au seuil 0,05) </w:t>
      </w:r>
      <w:r>
        <w:rPr>
          <w:rFonts w:ascii="Eurocrat" w:hAnsi="Eurocrat"/>
          <w:color w:val="4A4948"/>
          <w:sz w:val="14"/>
          <w:szCs w:val="14"/>
        </w:rPr>
        <w:t xml:space="preserve">à celui de leurs homologues </w:t>
      </w:r>
      <w:r w:rsidR="00A724E9">
        <w:rPr>
          <w:rFonts w:ascii="Eurocrat" w:hAnsi="Eurocrat"/>
          <w:color w:val="4A4948"/>
          <w:sz w:val="14"/>
          <w:szCs w:val="14"/>
        </w:rPr>
        <w:t>du reste de la France.</w:t>
      </w:r>
    </w:p>
    <w:p w14:paraId="3F3D9FF0" w14:textId="77777777" w:rsidR="00A724E9" w:rsidRDefault="00A724E9" w:rsidP="00450AA9">
      <w:pPr>
        <w:spacing w:before="5" w:line="242" w:lineRule="auto"/>
        <w:ind w:right="529"/>
        <w:rPr>
          <w:rFonts w:ascii="Eurocrat" w:hAnsi="Eurocrat"/>
          <w:color w:val="000000"/>
          <w:sz w:val="14"/>
          <w:szCs w:val="14"/>
        </w:rPr>
      </w:pPr>
    </w:p>
    <w:p w14:paraId="3A2D808C" w14:textId="77777777" w:rsidR="00450AA9" w:rsidRPr="00F616B9" w:rsidRDefault="00F616B9" w:rsidP="00AB57B2">
      <w:pPr>
        <w:pStyle w:val="Titre2"/>
        <w:spacing w:after="120"/>
      </w:pPr>
      <w:r>
        <w:t>É</w:t>
      </w:r>
      <w:r w:rsidR="00450AA9" w:rsidRPr="00F616B9">
        <w:t xml:space="preserve">volution des usages quotidiens de tabac et des usages réguliers d’alcool et de cannabis à 17 ans dans la région </w:t>
      </w:r>
      <w:r w:rsidR="00720CB2">
        <w:t>Auvergne-Rhône-Alpes</w:t>
      </w:r>
      <w:r w:rsidR="00450AA9" w:rsidRPr="00F616B9">
        <w:t xml:space="preserve"> et en France métropolitaine entre 2005 et 2017 (%)</w:t>
      </w:r>
    </w:p>
    <w:p w14:paraId="7EA943D6" w14:textId="77777777" w:rsidR="00EC2B3A" w:rsidRDefault="008E7F9D" w:rsidP="00F21E1B">
      <w:pPr>
        <w:tabs>
          <w:tab w:val="left" w:pos="2459"/>
        </w:tabs>
        <w:rPr>
          <w:b/>
          <w:color w:val="000000" w:themeColor="text1"/>
          <w:sz w:val="18"/>
        </w:rPr>
      </w:pPr>
      <w:r w:rsidRPr="008E7F9D">
        <w:rPr>
          <w:noProof/>
          <w:lang w:eastAsia="fr-FR"/>
        </w:rPr>
        <w:drawing>
          <wp:inline distT="0" distB="0" distL="0" distR="0" wp14:anchorId="3A5F63E4" wp14:editId="511CFCF1">
            <wp:extent cx="5127342" cy="2578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5363" cy="2592189"/>
                    </a:xfrm>
                    <a:prstGeom prst="rect">
                      <a:avLst/>
                    </a:prstGeom>
                    <a:noFill/>
                    <a:ln>
                      <a:noFill/>
                    </a:ln>
                  </pic:spPr>
                </pic:pic>
              </a:graphicData>
            </a:graphic>
          </wp:inline>
        </w:drawing>
      </w:r>
    </w:p>
    <w:p w14:paraId="3E9C65CC" w14:textId="77777777" w:rsidR="001A385F" w:rsidRDefault="00450AA9" w:rsidP="008361EB">
      <w:pPr>
        <w:pStyle w:val="Sous-titre"/>
      </w:pPr>
      <w:r w:rsidRPr="00450AA9">
        <w:lastRenderedPageBreak/>
        <w:t>Sources : ESCAPAD 2005, 2008, 2011, 2014, 2017</w:t>
      </w:r>
      <w:r>
        <w:t>, OFDT</w:t>
      </w:r>
    </w:p>
    <w:p w14:paraId="10FA2319" w14:textId="77777777" w:rsidR="001A385F" w:rsidRDefault="001A385F" w:rsidP="00134A9B">
      <w:pPr>
        <w:tabs>
          <w:tab w:val="left" w:pos="2459"/>
        </w:tabs>
        <w:jc w:val="both"/>
        <w:rPr>
          <w:b/>
          <w:color w:val="000000" w:themeColor="text1"/>
          <w:sz w:val="18"/>
        </w:rPr>
      </w:pPr>
    </w:p>
    <w:p w14:paraId="67211D58" w14:textId="77777777" w:rsidR="00212A7B" w:rsidRPr="008361EB" w:rsidRDefault="00212A7B">
      <w:pPr>
        <w:rPr>
          <w:b/>
          <w:color w:val="767171" w:themeColor="background2" w:themeShade="80"/>
          <w:sz w:val="24"/>
          <w:szCs w:val="24"/>
        </w:rPr>
      </w:pPr>
      <w:r w:rsidRPr="008361EB">
        <w:rPr>
          <w:rFonts w:asciiTheme="majorHAnsi" w:eastAsiaTheme="majorEastAsia" w:hAnsiTheme="majorHAnsi" w:cstheme="majorBidi"/>
          <w:b/>
          <w:color w:val="767171" w:themeColor="background2" w:themeShade="80"/>
          <w:sz w:val="24"/>
          <w:szCs w:val="24"/>
        </w:rPr>
        <w:t>Indicateurs reflétant les conséquences sanitaires des usages de produits psychoactifs</w:t>
      </w:r>
    </w:p>
    <w:tbl>
      <w:tblPr>
        <w:tblStyle w:val="Grilledutableau"/>
        <w:tblpPr w:leftFromText="141" w:rightFromText="141" w:vertAnchor="page" w:horzAnchor="margin" w:tblpY="2371"/>
        <w:tblW w:w="9209" w:type="dxa"/>
        <w:tblLook w:val="04A0" w:firstRow="1" w:lastRow="0" w:firstColumn="1" w:lastColumn="0" w:noHBand="0" w:noVBand="1"/>
      </w:tblPr>
      <w:tblGrid>
        <w:gridCol w:w="2207"/>
        <w:gridCol w:w="1745"/>
        <w:gridCol w:w="1821"/>
        <w:gridCol w:w="1732"/>
        <w:gridCol w:w="1704"/>
      </w:tblGrid>
      <w:tr w:rsidR="00C41E43" w:rsidRPr="00DC15D8" w14:paraId="7C424B68" w14:textId="77777777" w:rsidTr="00AE4C44">
        <w:tc>
          <w:tcPr>
            <w:tcW w:w="2207" w:type="dxa"/>
            <w:shd w:val="clear" w:color="auto" w:fill="D5D5CB"/>
            <w:vAlign w:val="center"/>
          </w:tcPr>
          <w:p w14:paraId="7C6F99B3" w14:textId="77777777" w:rsidR="00C41E43" w:rsidRPr="005E3085" w:rsidRDefault="00C41E43" w:rsidP="00D84719">
            <w:pPr>
              <w:tabs>
                <w:tab w:val="left" w:pos="2459"/>
              </w:tabs>
              <w:rPr>
                <w:b/>
                <w:sz w:val="18"/>
                <w:szCs w:val="18"/>
              </w:rPr>
            </w:pPr>
          </w:p>
        </w:tc>
        <w:tc>
          <w:tcPr>
            <w:tcW w:w="1745" w:type="dxa"/>
            <w:shd w:val="clear" w:color="auto" w:fill="D5D5CB"/>
            <w:vAlign w:val="center"/>
          </w:tcPr>
          <w:p w14:paraId="606854F9" w14:textId="77777777" w:rsidR="00C41E43" w:rsidRPr="005E3085" w:rsidRDefault="00C41E43" w:rsidP="00D84719">
            <w:pPr>
              <w:tabs>
                <w:tab w:val="left" w:pos="2459"/>
              </w:tabs>
              <w:rPr>
                <w:b/>
                <w:sz w:val="18"/>
                <w:szCs w:val="18"/>
              </w:rPr>
            </w:pPr>
          </w:p>
        </w:tc>
        <w:tc>
          <w:tcPr>
            <w:tcW w:w="1821" w:type="dxa"/>
            <w:shd w:val="clear" w:color="auto" w:fill="D5D5CB"/>
            <w:vAlign w:val="center"/>
          </w:tcPr>
          <w:p w14:paraId="1D90B27F" w14:textId="77777777" w:rsidR="00C41E43" w:rsidRPr="00DC15D8" w:rsidRDefault="00720CB2" w:rsidP="008361EB">
            <w:pPr>
              <w:tabs>
                <w:tab w:val="left" w:pos="2459"/>
              </w:tabs>
              <w:jc w:val="center"/>
              <w:rPr>
                <w:b/>
                <w:sz w:val="20"/>
                <w:szCs w:val="18"/>
              </w:rPr>
            </w:pPr>
            <w:r>
              <w:rPr>
                <w:b/>
                <w:sz w:val="20"/>
                <w:szCs w:val="18"/>
              </w:rPr>
              <w:t>Auvergne-Rhône-Alpes</w:t>
            </w:r>
          </w:p>
        </w:tc>
        <w:tc>
          <w:tcPr>
            <w:tcW w:w="1732" w:type="dxa"/>
            <w:shd w:val="clear" w:color="auto" w:fill="D5D5CB"/>
            <w:vAlign w:val="center"/>
          </w:tcPr>
          <w:p w14:paraId="531C640A" w14:textId="77777777" w:rsidR="00C41E43" w:rsidRPr="00DC15D8" w:rsidRDefault="00AE4C44" w:rsidP="008361EB">
            <w:pPr>
              <w:tabs>
                <w:tab w:val="left" w:pos="2459"/>
              </w:tabs>
              <w:jc w:val="center"/>
              <w:rPr>
                <w:b/>
                <w:sz w:val="20"/>
                <w:szCs w:val="18"/>
              </w:rPr>
            </w:pPr>
            <w:r>
              <w:rPr>
                <w:b/>
                <w:sz w:val="20"/>
                <w:szCs w:val="18"/>
              </w:rPr>
              <w:t>France entière</w:t>
            </w:r>
          </w:p>
        </w:tc>
        <w:tc>
          <w:tcPr>
            <w:tcW w:w="1704" w:type="dxa"/>
            <w:shd w:val="clear" w:color="auto" w:fill="D5D5CB"/>
            <w:vAlign w:val="center"/>
          </w:tcPr>
          <w:p w14:paraId="0336AC6D" w14:textId="77777777" w:rsidR="00AE4C44" w:rsidRDefault="00AE4C44" w:rsidP="00AE4C44">
            <w:pPr>
              <w:tabs>
                <w:tab w:val="left" w:pos="2459"/>
              </w:tabs>
              <w:jc w:val="center"/>
              <w:rPr>
                <w:b/>
                <w:sz w:val="20"/>
                <w:szCs w:val="18"/>
              </w:rPr>
            </w:pPr>
            <w:r>
              <w:rPr>
                <w:b/>
                <w:sz w:val="20"/>
                <w:szCs w:val="18"/>
              </w:rPr>
              <w:t>Rang</w:t>
            </w:r>
          </w:p>
          <w:p w14:paraId="63818E70" w14:textId="77777777" w:rsidR="00C41E43" w:rsidRPr="00AE4C44" w:rsidRDefault="00AE4C44" w:rsidP="00AE4C44">
            <w:pPr>
              <w:tabs>
                <w:tab w:val="left" w:pos="2459"/>
              </w:tabs>
              <w:jc w:val="center"/>
              <w:rPr>
                <w:sz w:val="16"/>
                <w:szCs w:val="16"/>
              </w:rPr>
            </w:pPr>
            <w:r w:rsidRPr="00AE4C44">
              <w:rPr>
                <w:sz w:val="16"/>
                <w:szCs w:val="16"/>
              </w:rPr>
              <w:t xml:space="preserve">(parmi les </w:t>
            </w:r>
            <w:r w:rsidR="00C41E43" w:rsidRPr="00AE4C44">
              <w:rPr>
                <w:sz w:val="16"/>
                <w:szCs w:val="16"/>
              </w:rPr>
              <w:t>13</w:t>
            </w:r>
            <w:r w:rsidRPr="00AE4C44">
              <w:rPr>
                <w:sz w:val="16"/>
                <w:szCs w:val="16"/>
              </w:rPr>
              <w:t xml:space="preserve"> régions métropolitaines</w:t>
            </w:r>
            <w:r w:rsidR="00C41E43" w:rsidRPr="00AE4C44">
              <w:rPr>
                <w:sz w:val="16"/>
                <w:szCs w:val="16"/>
              </w:rPr>
              <w:t>)</w:t>
            </w:r>
          </w:p>
        </w:tc>
      </w:tr>
      <w:tr w:rsidR="00720CB2" w:rsidRPr="00DC15D8" w14:paraId="100B7800" w14:textId="77777777" w:rsidTr="00AE4C44">
        <w:trPr>
          <w:trHeight w:val="911"/>
        </w:trPr>
        <w:tc>
          <w:tcPr>
            <w:tcW w:w="2207" w:type="dxa"/>
            <w:vAlign w:val="center"/>
          </w:tcPr>
          <w:p w14:paraId="1653DB21" w14:textId="77777777" w:rsidR="00720CB2" w:rsidRPr="00DC15D8" w:rsidRDefault="00720CB2" w:rsidP="00720CB2">
            <w:pPr>
              <w:tabs>
                <w:tab w:val="left" w:pos="2459"/>
              </w:tabs>
              <w:rPr>
                <w:sz w:val="18"/>
                <w:szCs w:val="18"/>
              </w:rPr>
            </w:pPr>
            <w:r w:rsidRPr="00DC15D8">
              <w:rPr>
                <w:sz w:val="18"/>
                <w:szCs w:val="18"/>
              </w:rPr>
              <w:t>Décès avant 65 ans par cancers du poumon, des bronches et de la trachée (201</w:t>
            </w:r>
            <w:r>
              <w:rPr>
                <w:sz w:val="18"/>
                <w:szCs w:val="18"/>
              </w:rPr>
              <w:t>6</w:t>
            </w:r>
            <w:r w:rsidRPr="00DC15D8">
              <w:rPr>
                <w:sz w:val="18"/>
                <w:szCs w:val="18"/>
              </w:rPr>
              <w:t>)</w:t>
            </w:r>
            <w:r w:rsidRPr="001E2849">
              <w:rPr>
                <w:sz w:val="18"/>
                <w:szCs w:val="18"/>
                <w:vertAlign w:val="superscript"/>
              </w:rPr>
              <w:t>1</w:t>
            </w:r>
          </w:p>
        </w:tc>
        <w:tc>
          <w:tcPr>
            <w:tcW w:w="1745" w:type="dxa"/>
            <w:vAlign w:val="center"/>
          </w:tcPr>
          <w:p w14:paraId="2A0A4EB1" w14:textId="77777777" w:rsidR="00720CB2" w:rsidRPr="00DC15D8" w:rsidRDefault="00720CB2" w:rsidP="00720CB2">
            <w:pPr>
              <w:tabs>
                <w:tab w:val="left" w:pos="2459"/>
              </w:tabs>
              <w:rPr>
                <w:sz w:val="18"/>
                <w:szCs w:val="18"/>
              </w:rPr>
            </w:pPr>
            <w:r w:rsidRPr="00DC15D8">
              <w:rPr>
                <w:sz w:val="18"/>
                <w:szCs w:val="18"/>
              </w:rPr>
              <w:t>Pour 10 000 habitants de 40 à 64 ans</w:t>
            </w:r>
          </w:p>
        </w:tc>
        <w:tc>
          <w:tcPr>
            <w:tcW w:w="1821" w:type="dxa"/>
            <w:vAlign w:val="center"/>
          </w:tcPr>
          <w:p w14:paraId="68799DA3" w14:textId="77777777" w:rsidR="00720CB2" w:rsidRDefault="00720CB2" w:rsidP="00720CB2">
            <w:pPr>
              <w:jc w:val="center"/>
              <w:rPr>
                <w:rFonts w:ascii="Calibri" w:hAnsi="Calibri"/>
                <w:sz w:val="18"/>
                <w:szCs w:val="18"/>
              </w:rPr>
            </w:pPr>
            <w:r>
              <w:rPr>
                <w:rFonts w:ascii="Calibri" w:hAnsi="Calibri"/>
                <w:sz w:val="18"/>
                <w:szCs w:val="18"/>
              </w:rPr>
              <w:t>4,4</w:t>
            </w:r>
          </w:p>
        </w:tc>
        <w:tc>
          <w:tcPr>
            <w:tcW w:w="1732" w:type="dxa"/>
            <w:vAlign w:val="center"/>
          </w:tcPr>
          <w:p w14:paraId="1CA15F0B" w14:textId="77777777" w:rsidR="00720CB2" w:rsidRDefault="00720CB2" w:rsidP="00720CB2">
            <w:pPr>
              <w:jc w:val="center"/>
              <w:rPr>
                <w:rFonts w:ascii="Calibri" w:hAnsi="Calibri"/>
                <w:sz w:val="18"/>
                <w:szCs w:val="18"/>
              </w:rPr>
            </w:pPr>
            <w:r>
              <w:rPr>
                <w:rFonts w:ascii="Calibri" w:hAnsi="Calibri"/>
                <w:sz w:val="18"/>
                <w:szCs w:val="18"/>
              </w:rPr>
              <w:t>5,1</w:t>
            </w:r>
          </w:p>
        </w:tc>
        <w:tc>
          <w:tcPr>
            <w:tcW w:w="1704" w:type="dxa"/>
            <w:vAlign w:val="center"/>
          </w:tcPr>
          <w:p w14:paraId="75C7E0E4" w14:textId="77777777" w:rsidR="00720CB2" w:rsidRDefault="00720CB2" w:rsidP="00720CB2">
            <w:pPr>
              <w:jc w:val="center"/>
              <w:rPr>
                <w:rFonts w:ascii="Calibri" w:hAnsi="Calibri"/>
                <w:sz w:val="18"/>
                <w:szCs w:val="18"/>
              </w:rPr>
            </w:pPr>
            <w:r>
              <w:rPr>
                <w:rFonts w:ascii="Calibri" w:hAnsi="Calibri"/>
                <w:sz w:val="18"/>
                <w:szCs w:val="18"/>
              </w:rPr>
              <w:t>12</w:t>
            </w:r>
          </w:p>
        </w:tc>
      </w:tr>
      <w:tr w:rsidR="00720CB2" w:rsidRPr="00DC15D8" w14:paraId="512821BE" w14:textId="77777777" w:rsidTr="00AE4C44">
        <w:trPr>
          <w:trHeight w:val="698"/>
        </w:trPr>
        <w:tc>
          <w:tcPr>
            <w:tcW w:w="2207" w:type="dxa"/>
            <w:vAlign w:val="center"/>
          </w:tcPr>
          <w:p w14:paraId="23076481" w14:textId="77777777" w:rsidR="00720CB2" w:rsidRPr="00DC15D8" w:rsidRDefault="00720CB2" w:rsidP="00720CB2">
            <w:pPr>
              <w:tabs>
                <w:tab w:val="left" w:pos="2459"/>
              </w:tabs>
              <w:rPr>
                <w:sz w:val="18"/>
                <w:szCs w:val="18"/>
              </w:rPr>
            </w:pPr>
            <w:r w:rsidRPr="00DC15D8">
              <w:rPr>
                <w:sz w:val="18"/>
                <w:szCs w:val="18"/>
              </w:rPr>
              <w:t>Décès avant 65 ans par alcoolisme et cirrhose (201</w:t>
            </w:r>
            <w:r>
              <w:rPr>
                <w:sz w:val="18"/>
                <w:szCs w:val="18"/>
              </w:rPr>
              <w:t>6</w:t>
            </w:r>
            <w:r w:rsidRPr="00DC15D8">
              <w:rPr>
                <w:sz w:val="18"/>
                <w:szCs w:val="18"/>
              </w:rPr>
              <w:t>)</w:t>
            </w:r>
            <w:r w:rsidRPr="001E2849">
              <w:rPr>
                <w:sz w:val="18"/>
                <w:szCs w:val="18"/>
                <w:vertAlign w:val="superscript"/>
              </w:rPr>
              <w:t>1</w:t>
            </w:r>
          </w:p>
        </w:tc>
        <w:tc>
          <w:tcPr>
            <w:tcW w:w="1745" w:type="dxa"/>
            <w:vAlign w:val="center"/>
          </w:tcPr>
          <w:p w14:paraId="6DA76DCB" w14:textId="77777777" w:rsidR="00720CB2" w:rsidRPr="00DC15D8" w:rsidRDefault="00720CB2" w:rsidP="00720CB2">
            <w:pPr>
              <w:tabs>
                <w:tab w:val="left" w:pos="2459"/>
              </w:tabs>
              <w:rPr>
                <w:sz w:val="18"/>
                <w:szCs w:val="18"/>
              </w:rPr>
            </w:pPr>
            <w:r w:rsidRPr="00DC15D8">
              <w:rPr>
                <w:sz w:val="18"/>
                <w:szCs w:val="18"/>
              </w:rPr>
              <w:t>Pour 10 000 habitants de 40 à 64 ans</w:t>
            </w:r>
          </w:p>
        </w:tc>
        <w:tc>
          <w:tcPr>
            <w:tcW w:w="1821" w:type="dxa"/>
            <w:vAlign w:val="center"/>
          </w:tcPr>
          <w:p w14:paraId="4B2C0925" w14:textId="77777777" w:rsidR="00720CB2" w:rsidRDefault="00720CB2" w:rsidP="00720CB2">
            <w:pPr>
              <w:jc w:val="center"/>
              <w:rPr>
                <w:rFonts w:ascii="Calibri" w:hAnsi="Calibri"/>
                <w:sz w:val="18"/>
                <w:szCs w:val="18"/>
              </w:rPr>
            </w:pPr>
            <w:r>
              <w:rPr>
                <w:rFonts w:ascii="Calibri" w:hAnsi="Calibri"/>
                <w:sz w:val="18"/>
                <w:szCs w:val="18"/>
              </w:rPr>
              <w:t>2,0</w:t>
            </w:r>
          </w:p>
        </w:tc>
        <w:tc>
          <w:tcPr>
            <w:tcW w:w="1732" w:type="dxa"/>
            <w:vAlign w:val="center"/>
          </w:tcPr>
          <w:p w14:paraId="7367A8C7" w14:textId="77777777" w:rsidR="00720CB2" w:rsidRDefault="00720CB2" w:rsidP="00720CB2">
            <w:pPr>
              <w:jc w:val="center"/>
              <w:rPr>
                <w:rFonts w:ascii="Calibri" w:hAnsi="Calibri"/>
                <w:sz w:val="18"/>
                <w:szCs w:val="18"/>
              </w:rPr>
            </w:pPr>
            <w:r>
              <w:rPr>
                <w:rFonts w:ascii="Calibri" w:hAnsi="Calibri"/>
                <w:sz w:val="18"/>
                <w:szCs w:val="18"/>
              </w:rPr>
              <w:t>2,3</w:t>
            </w:r>
          </w:p>
        </w:tc>
        <w:tc>
          <w:tcPr>
            <w:tcW w:w="1704" w:type="dxa"/>
            <w:vAlign w:val="center"/>
          </w:tcPr>
          <w:p w14:paraId="6AC2E06A" w14:textId="77777777" w:rsidR="00720CB2" w:rsidRDefault="00720CB2" w:rsidP="00720CB2">
            <w:pPr>
              <w:jc w:val="center"/>
              <w:rPr>
                <w:rFonts w:ascii="Calibri" w:hAnsi="Calibri"/>
                <w:sz w:val="18"/>
                <w:szCs w:val="18"/>
              </w:rPr>
            </w:pPr>
            <w:r>
              <w:rPr>
                <w:rFonts w:ascii="Calibri" w:hAnsi="Calibri"/>
                <w:sz w:val="18"/>
                <w:szCs w:val="18"/>
              </w:rPr>
              <w:t>10</w:t>
            </w:r>
          </w:p>
        </w:tc>
      </w:tr>
      <w:tr w:rsidR="00720CB2" w:rsidRPr="00DC15D8" w14:paraId="73D92834" w14:textId="77777777" w:rsidTr="00AE4C44">
        <w:trPr>
          <w:trHeight w:val="835"/>
        </w:trPr>
        <w:tc>
          <w:tcPr>
            <w:tcW w:w="2207" w:type="dxa"/>
            <w:vAlign w:val="center"/>
          </w:tcPr>
          <w:p w14:paraId="0BA34AB2" w14:textId="77777777" w:rsidR="00720CB2" w:rsidRPr="00DC15D8" w:rsidRDefault="00720CB2" w:rsidP="00720CB2">
            <w:pPr>
              <w:tabs>
                <w:tab w:val="left" w:pos="2459"/>
              </w:tabs>
              <w:rPr>
                <w:sz w:val="18"/>
                <w:szCs w:val="18"/>
              </w:rPr>
            </w:pPr>
            <w:r w:rsidRPr="00DC15D8">
              <w:rPr>
                <w:sz w:val="18"/>
                <w:szCs w:val="18"/>
              </w:rPr>
              <w:t>Accidents corporels avec alcool (2017)</w:t>
            </w:r>
            <w:r>
              <w:rPr>
                <w:sz w:val="18"/>
                <w:szCs w:val="18"/>
                <w:vertAlign w:val="superscript"/>
              </w:rPr>
              <w:t>2</w:t>
            </w:r>
          </w:p>
        </w:tc>
        <w:tc>
          <w:tcPr>
            <w:tcW w:w="1745" w:type="dxa"/>
            <w:vAlign w:val="center"/>
          </w:tcPr>
          <w:p w14:paraId="12754BE2" w14:textId="77777777" w:rsidR="00720CB2" w:rsidRPr="00DC15D8" w:rsidRDefault="00720CB2" w:rsidP="00720CB2">
            <w:pPr>
              <w:tabs>
                <w:tab w:val="left" w:pos="2459"/>
              </w:tabs>
              <w:rPr>
                <w:sz w:val="18"/>
                <w:szCs w:val="18"/>
              </w:rPr>
            </w:pPr>
            <w:r w:rsidRPr="00DC15D8">
              <w:rPr>
                <w:sz w:val="18"/>
                <w:szCs w:val="18"/>
              </w:rPr>
              <w:t>Pour 100 accidents corporels au taux d’alcoolémie connu</w:t>
            </w:r>
          </w:p>
        </w:tc>
        <w:tc>
          <w:tcPr>
            <w:tcW w:w="1821" w:type="dxa"/>
            <w:vAlign w:val="center"/>
          </w:tcPr>
          <w:p w14:paraId="38ECDFF0" w14:textId="77777777" w:rsidR="00720CB2" w:rsidRDefault="00720CB2" w:rsidP="00720CB2">
            <w:pPr>
              <w:jc w:val="center"/>
              <w:rPr>
                <w:rFonts w:ascii="Calibri" w:hAnsi="Calibri"/>
                <w:sz w:val="18"/>
                <w:szCs w:val="18"/>
              </w:rPr>
            </w:pPr>
            <w:r>
              <w:rPr>
                <w:rFonts w:ascii="Calibri" w:hAnsi="Calibri"/>
                <w:sz w:val="18"/>
                <w:szCs w:val="18"/>
              </w:rPr>
              <w:t>13,7</w:t>
            </w:r>
          </w:p>
        </w:tc>
        <w:tc>
          <w:tcPr>
            <w:tcW w:w="1732" w:type="dxa"/>
            <w:vAlign w:val="center"/>
          </w:tcPr>
          <w:p w14:paraId="7257D4EC" w14:textId="77777777" w:rsidR="00720CB2" w:rsidRDefault="00720CB2" w:rsidP="00720CB2">
            <w:pPr>
              <w:jc w:val="center"/>
              <w:rPr>
                <w:rFonts w:ascii="Calibri" w:hAnsi="Calibri"/>
                <w:sz w:val="18"/>
                <w:szCs w:val="18"/>
              </w:rPr>
            </w:pPr>
            <w:r>
              <w:rPr>
                <w:rFonts w:ascii="Calibri" w:hAnsi="Calibri"/>
                <w:sz w:val="18"/>
                <w:szCs w:val="18"/>
              </w:rPr>
              <w:t>11,7</w:t>
            </w:r>
          </w:p>
        </w:tc>
        <w:tc>
          <w:tcPr>
            <w:tcW w:w="1704" w:type="dxa"/>
            <w:vAlign w:val="center"/>
          </w:tcPr>
          <w:p w14:paraId="2E9060AA" w14:textId="77777777" w:rsidR="00720CB2" w:rsidRDefault="00720CB2" w:rsidP="00720CB2">
            <w:pPr>
              <w:jc w:val="center"/>
              <w:rPr>
                <w:rFonts w:ascii="Calibri" w:hAnsi="Calibri"/>
                <w:sz w:val="18"/>
                <w:szCs w:val="18"/>
              </w:rPr>
            </w:pPr>
            <w:r>
              <w:rPr>
                <w:rFonts w:ascii="Calibri" w:hAnsi="Calibri"/>
                <w:sz w:val="18"/>
                <w:szCs w:val="18"/>
              </w:rPr>
              <w:t>7</w:t>
            </w:r>
          </w:p>
        </w:tc>
      </w:tr>
      <w:tr w:rsidR="00720CB2" w:rsidRPr="00DC15D8" w14:paraId="2CAE49A7" w14:textId="77777777" w:rsidTr="00AE4C44">
        <w:trPr>
          <w:trHeight w:val="847"/>
        </w:trPr>
        <w:tc>
          <w:tcPr>
            <w:tcW w:w="2207" w:type="dxa"/>
            <w:vAlign w:val="center"/>
          </w:tcPr>
          <w:p w14:paraId="6CE859E9" w14:textId="77777777" w:rsidR="00720CB2" w:rsidRPr="00DC15D8" w:rsidRDefault="00720CB2" w:rsidP="00720CB2">
            <w:pPr>
              <w:tabs>
                <w:tab w:val="left" w:pos="2459"/>
              </w:tabs>
              <w:rPr>
                <w:sz w:val="18"/>
                <w:szCs w:val="18"/>
              </w:rPr>
            </w:pPr>
            <w:r w:rsidRPr="00DC15D8">
              <w:rPr>
                <w:sz w:val="18"/>
                <w:szCs w:val="18"/>
              </w:rPr>
              <w:t>Accidents mortels avec alcool (2017)</w:t>
            </w:r>
            <w:r>
              <w:rPr>
                <w:sz w:val="18"/>
                <w:szCs w:val="18"/>
                <w:vertAlign w:val="superscript"/>
              </w:rPr>
              <w:t>2</w:t>
            </w:r>
          </w:p>
        </w:tc>
        <w:tc>
          <w:tcPr>
            <w:tcW w:w="1745" w:type="dxa"/>
            <w:vAlign w:val="center"/>
          </w:tcPr>
          <w:p w14:paraId="28CE25C6" w14:textId="77777777" w:rsidR="00720CB2" w:rsidRPr="00DC15D8" w:rsidRDefault="00720CB2" w:rsidP="00720CB2">
            <w:pPr>
              <w:tabs>
                <w:tab w:val="left" w:pos="2459"/>
              </w:tabs>
              <w:rPr>
                <w:sz w:val="18"/>
                <w:szCs w:val="18"/>
              </w:rPr>
            </w:pPr>
            <w:r w:rsidRPr="00DC15D8">
              <w:rPr>
                <w:sz w:val="18"/>
                <w:szCs w:val="18"/>
              </w:rPr>
              <w:t>Pour 100 accidents mortels au taux d’alcoolémie connu</w:t>
            </w:r>
          </w:p>
        </w:tc>
        <w:tc>
          <w:tcPr>
            <w:tcW w:w="1821" w:type="dxa"/>
            <w:vAlign w:val="center"/>
          </w:tcPr>
          <w:p w14:paraId="078BE697" w14:textId="77777777" w:rsidR="00720CB2" w:rsidRDefault="00720CB2" w:rsidP="00720CB2">
            <w:pPr>
              <w:jc w:val="center"/>
              <w:rPr>
                <w:rFonts w:ascii="Calibri" w:hAnsi="Calibri"/>
                <w:sz w:val="18"/>
                <w:szCs w:val="18"/>
              </w:rPr>
            </w:pPr>
            <w:r>
              <w:rPr>
                <w:rFonts w:ascii="Calibri" w:hAnsi="Calibri"/>
                <w:sz w:val="18"/>
                <w:szCs w:val="18"/>
              </w:rPr>
              <w:t>32,0</w:t>
            </w:r>
          </w:p>
        </w:tc>
        <w:tc>
          <w:tcPr>
            <w:tcW w:w="1732" w:type="dxa"/>
            <w:vAlign w:val="center"/>
          </w:tcPr>
          <w:p w14:paraId="1D19D12D" w14:textId="77777777" w:rsidR="00720CB2" w:rsidRDefault="00720CB2" w:rsidP="00720CB2">
            <w:pPr>
              <w:jc w:val="center"/>
              <w:rPr>
                <w:rFonts w:ascii="Calibri" w:hAnsi="Calibri"/>
                <w:sz w:val="18"/>
                <w:szCs w:val="18"/>
              </w:rPr>
            </w:pPr>
            <w:r>
              <w:rPr>
                <w:rFonts w:ascii="Calibri" w:hAnsi="Calibri"/>
                <w:sz w:val="18"/>
                <w:szCs w:val="18"/>
              </w:rPr>
              <w:t>30,2</w:t>
            </w:r>
          </w:p>
        </w:tc>
        <w:tc>
          <w:tcPr>
            <w:tcW w:w="1704" w:type="dxa"/>
            <w:vAlign w:val="center"/>
          </w:tcPr>
          <w:p w14:paraId="027A662C" w14:textId="77777777" w:rsidR="00720CB2" w:rsidRDefault="00720CB2" w:rsidP="00720CB2">
            <w:pPr>
              <w:jc w:val="center"/>
              <w:rPr>
                <w:rFonts w:ascii="Calibri" w:hAnsi="Calibri"/>
                <w:sz w:val="18"/>
                <w:szCs w:val="18"/>
              </w:rPr>
            </w:pPr>
            <w:r>
              <w:rPr>
                <w:rFonts w:ascii="Calibri" w:hAnsi="Calibri"/>
                <w:sz w:val="18"/>
                <w:szCs w:val="18"/>
              </w:rPr>
              <w:t>3</w:t>
            </w:r>
          </w:p>
        </w:tc>
      </w:tr>
      <w:tr w:rsidR="00720CB2" w:rsidRPr="00DC15D8" w14:paraId="34A26A56" w14:textId="77777777" w:rsidTr="00AE4C44">
        <w:trPr>
          <w:trHeight w:val="844"/>
        </w:trPr>
        <w:tc>
          <w:tcPr>
            <w:tcW w:w="2207" w:type="dxa"/>
            <w:vAlign w:val="center"/>
          </w:tcPr>
          <w:p w14:paraId="354C50D5" w14:textId="77777777" w:rsidR="00720CB2" w:rsidRPr="00DC15D8" w:rsidRDefault="00720CB2" w:rsidP="00720CB2">
            <w:pPr>
              <w:tabs>
                <w:tab w:val="left" w:pos="2459"/>
              </w:tabs>
              <w:rPr>
                <w:sz w:val="18"/>
                <w:szCs w:val="18"/>
              </w:rPr>
            </w:pPr>
            <w:r w:rsidRPr="00DC15D8">
              <w:rPr>
                <w:sz w:val="18"/>
                <w:szCs w:val="18"/>
              </w:rPr>
              <w:t>Accidents mortels avec présence de stupéfiants (2017)</w:t>
            </w:r>
            <w:r>
              <w:rPr>
                <w:sz w:val="18"/>
                <w:szCs w:val="18"/>
                <w:vertAlign w:val="superscript"/>
              </w:rPr>
              <w:t>2</w:t>
            </w:r>
          </w:p>
        </w:tc>
        <w:tc>
          <w:tcPr>
            <w:tcW w:w="1745" w:type="dxa"/>
            <w:vAlign w:val="center"/>
          </w:tcPr>
          <w:p w14:paraId="4BC5B898" w14:textId="77777777" w:rsidR="00720CB2" w:rsidRPr="00DC15D8" w:rsidRDefault="00720CB2" w:rsidP="00720CB2">
            <w:pPr>
              <w:tabs>
                <w:tab w:val="left" w:pos="2459"/>
              </w:tabs>
              <w:rPr>
                <w:sz w:val="18"/>
                <w:szCs w:val="18"/>
              </w:rPr>
            </w:pPr>
            <w:r w:rsidRPr="00DC15D8">
              <w:rPr>
                <w:sz w:val="18"/>
                <w:szCs w:val="18"/>
              </w:rPr>
              <w:t>Pour 100 accidents mortels avec dépistage stupéfiants réalisé</w:t>
            </w:r>
          </w:p>
        </w:tc>
        <w:tc>
          <w:tcPr>
            <w:tcW w:w="1821" w:type="dxa"/>
            <w:vAlign w:val="center"/>
          </w:tcPr>
          <w:p w14:paraId="7B47886A" w14:textId="77777777" w:rsidR="00720CB2" w:rsidRDefault="00720CB2" w:rsidP="00720CB2">
            <w:pPr>
              <w:jc w:val="center"/>
              <w:rPr>
                <w:rFonts w:ascii="Calibri" w:hAnsi="Calibri"/>
                <w:sz w:val="18"/>
                <w:szCs w:val="18"/>
              </w:rPr>
            </w:pPr>
            <w:r>
              <w:rPr>
                <w:rFonts w:ascii="Calibri" w:hAnsi="Calibri"/>
                <w:sz w:val="18"/>
                <w:szCs w:val="18"/>
              </w:rPr>
              <w:t>22,8</w:t>
            </w:r>
          </w:p>
        </w:tc>
        <w:tc>
          <w:tcPr>
            <w:tcW w:w="1732" w:type="dxa"/>
            <w:vAlign w:val="center"/>
          </w:tcPr>
          <w:p w14:paraId="02494B9D" w14:textId="77777777" w:rsidR="00720CB2" w:rsidRDefault="00720CB2" w:rsidP="00720CB2">
            <w:pPr>
              <w:jc w:val="center"/>
              <w:rPr>
                <w:rFonts w:ascii="Calibri" w:hAnsi="Calibri"/>
                <w:sz w:val="18"/>
                <w:szCs w:val="18"/>
              </w:rPr>
            </w:pPr>
            <w:r>
              <w:rPr>
                <w:rFonts w:ascii="Calibri" w:hAnsi="Calibri"/>
                <w:sz w:val="18"/>
                <w:szCs w:val="18"/>
              </w:rPr>
              <w:t>22,3</w:t>
            </w:r>
          </w:p>
        </w:tc>
        <w:tc>
          <w:tcPr>
            <w:tcW w:w="1704" w:type="dxa"/>
            <w:vAlign w:val="center"/>
          </w:tcPr>
          <w:p w14:paraId="50E67850" w14:textId="77777777" w:rsidR="00720CB2" w:rsidRDefault="00720CB2" w:rsidP="00720CB2">
            <w:pPr>
              <w:jc w:val="center"/>
              <w:rPr>
                <w:rFonts w:ascii="Calibri" w:hAnsi="Calibri"/>
                <w:sz w:val="18"/>
                <w:szCs w:val="18"/>
              </w:rPr>
            </w:pPr>
            <w:r>
              <w:rPr>
                <w:rFonts w:ascii="Calibri" w:hAnsi="Calibri"/>
                <w:sz w:val="18"/>
                <w:szCs w:val="18"/>
              </w:rPr>
              <w:t>4</w:t>
            </w:r>
          </w:p>
        </w:tc>
      </w:tr>
      <w:tr w:rsidR="00720CB2" w:rsidRPr="00DC15D8" w14:paraId="7A81DF87" w14:textId="77777777" w:rsidTr="00AE4C44">
        <w:trPr>
          <w:trHeight w:val="843"/>
        </w:trPr>
        <w:tc>
          <w:tcPr>
            <w:tcW w:w="2207" w:type="dxa"/>
            <w:vAlign w:val="center"/>
          </w:tcPr>
          <w:p w14:paraId="55D6247B" w14:textId="77777777" w:rsidR="00720CB2" w:rsidRPr="00DC15D8" w:rsidRDefault="00720CB2" w:rsidP="00720CB2">
            <w:pPr>
              <w:tabs>
                <w:tab w:val="left" w:pos="2459"/>
              </w:tabs>
              <w:rPr>
                <w:sz w:val="18"/>
                <w:szCs w:val="18"/>
              </w:rPr>
            </w:pPr>
            <w:r w:rsidRPr="00DC15D8">
              <w:rPr>
                <w:sz w:val="18"/>
                <w:szCs w:val="18"/>
              </w:rPr>
              <w:t>Nombre de patients théoriques traités par médicaments de substitution aux opioïdes (2017)</w:t>
            </w:r>
            <w:r>
              <w:rPr>
                <w:sz w:val="18"/>
                <w:szCs w:val="18"/>
                <w:vertAlign w:val="superscript"/>
              </w:rPr>
              <w:t>3,4</w:t>
            </w:r>
          </w:p>
        </w:tc>
        <w:tc>
          <w:tcPr>
            <w:tcW w:w="1745" w:type="dxa"/>
            <w:vAlign w:val="center"/>
          </w:tcPr>
          <w:p w14:paraId="13426837" w14:textId="77777777" w:rsidR="00720CB2" w:rsidRPr="00DC15D8" w:rsidRDefault="00720CB2" w:rsidP="00720CB2">
            <w:pPr>
              <w:tabs>
                <w:tab w:val="left" w:pos="2459"/>
              </w:tabs>
              <w:rPr>
                <w:sz w:val="18"/>
                <w:szCs w:val="18"/>
              </w:rPr>
            </w:pPr>
            <w:r w:rsidRPr="00DC15D8">
              <w:rPr>
                <w:sz w:val="18"/>
                <w:szCs w:val="18"/>
              </w:rPr>
              <w:t>Pour 100 000 habitants de 15 à 74 ans</w:t>
            </w:r>
          </w:p>
        </w:tc>
        <w:tc>
          <w:tcPr>
            <w:tcW w:w="1821" w:type="dxa"/>
            <w:vAlign w:val="center"/>
          </w:tcPr>
          <w:p w14:paraId="75A4BE2C" w14:textId="77777777" w:rsidR="00720CB2" w:rsidRDefault="00720CB2" w:rsidP="00720CB2">
            <w:pPr>
              <w:jc w:val="center"/>
              <w:rPr>
                <w:rFonts w:ascii="Calibri" w:hAnsi="Calibri"/>
                <w:sz w:val="18"/>
                <w:szCs w:val="18"/>
              </w:rPr>
            </w:pPr>
            <w:r>
              <w:rPr>
                <w:rFonts w:ascii="Calibri" w:hAnsi="Calibri"/>
                <w:sz w:val="18"/>
                <w:szCs w:val="18"/>
              </w:rPr>
              <w:t>292,7</w:t>
            </w:r>
          </w:p>
        </w:tc>
        <w:tc>
          <w:tcPr>
            <w:tcW w:w="1732" w:type="dxa"/>
            <w:vAlign w:val="center"/>
          </w:tcPr>
          <w:p w14:paraId="4C20A707" w14:textId="77777777" w:rsidR="00720CB2" w:rsidRDefault="00720CB2" w:rsidP="00720CB2">
            <w:pPr>
              <w:jc w:val="center"/>
              <w:rPr>
                <w:rFonts w:ascii="Calibri" w:hAnsi="Calibri"/>
                <w:sz w:val="18"/>
                <w:szCs w:val="18"/>
              </w:rPr>
            </w:pPr>
            <w:r>
              <w:rPr>
                <w:rFonts w:ascii="Calibri" w:hAnsi="Calibri"/>
                <w:sz w:val="18"/>
                <w:szCs w:val="18"/>
              </w:rPr>
              <w:t>328,1</w:t>
            </w:r>
          </w:p>
        </w:tc>
        <w:tc>
          <w:tcPr>
            <w:tcW w:w="1704" w:type="dxa"/>
            <w:vAlign w:val="center"/>
          </w:tcPr>
          <w:p w14:paraId="1BB499ED" w14:textId="77777777" w:rsidR="00720CB2" w:rsidRDefault="00720CB2" w:rsidP="00720CB2">
            <w:pPr>
              <w:jc w:val="center"/>
              <w:rPr>
                <w:rFonts w:ascii="Calibri" w:hAnsi="Calibri"/>
                <w:sz w:val="18"/>
                <w:szCs w:val="18"/>
              </w:rPr>
            </w:pPr>
            <w:r>
              <w:rPr>
                <w:rFonts w:ascii="Calibri" w:hAnsi="Calibri"/>
                <w:sz w:val="18"/>
                <w:szCs w:val="18"/>
              </w:rPr>
              <w:t>9</w:t>
            </w:r>
          </w:p>
        </w:tc>
      </w:tr>
      <w:tr w:rsidR="00720CB2" w:rsidRPr="00DC15D8" w14:paraId="2F39310D" w14:textId="77777777" w:rsidTr="00AE4C44">
        <w:trPr>
          <w:trHeight w:val="541"/>
        </w:trPr>
        <w:tc>
          <w:tcPr>
            <w:tcW w:w="2207" w:type="dxa"/>
            <w:vAlign w:val="center"/>
          </w:tcPr>
          <w:p w14:paraId="6369345A" w14:textId="77777777" w:rsidR="00720CB2" w:rsidRPr="00DC15D8" w:rsidRDefault="00720CB2" w:rsidP="00720CB2">
            <w:pPr>
              <w:tabs>
                <w:tab w:val="left" w:pos="2459"/>
              </w:tabs>
              <w:rPr>
                <w:sz w:val="18"/>
                <w:szCs w:val="18"/>
              </w:rPr>
            </w:pPr>
            <w:r w:rsidRPr="00DC15D8">
              <w:rPr>
                <w:sz w:val="18"/>
                <w:szCs w:val="18"/>
              </w:rPr>
              <w:t>Décès par surdoses (201</w:t>
            </w:r>
            <w:r>
              <w:rPr>
                <w:sz w:val="18"/>
                <w:szCs w:val="18"/>
              </w:rPr>
              <w:t>6</w:t>
            </w:r>
            <w:r w:rsidRPr="00DC15D8">
              <w:rPr>
                <w:sz w:val="18"/>
                <w:szCs w:val="18"/>
              </w:rPr>
              <w:t>)</w:t>
            </w:r>
            <w:r>
              <w:rPr>
                <w:sz w:val="18"/>
                <w:szCs w:val="18"/>
                <w:vertAlign w:val="superscript"/>
              </w:rPr>
              <w:t>1</w:t>
            </w:r>
          </w:p>
        </w:tc>
        <w:tc>
          <w:tcPr>
            <w:tcW w:w="1745" w:type="dxa"/>
            <w:vAlign w:val="center"/>
          </w:tcPr>
          <w:p w14:paraId="560A59B4" w14:textId="77777777" w:rsidR="00720CB2" w:rsidRPr="00DC15D8" w:rsidRDefault="00720CB2" w:rsidP="00720CB2">
            <w:pPr>
              <w:tabs>
                <w:tab w:val="left" w:pos="2459"/>
              </w:tabs>
              <w:rPr>
                <w:sz w:val="18"/>
                <w:szCs w:val="18"/>
              </w:rPr>
            </w:pPr>
            <w:r w:rsidRPr="00DC15D8">
              <w:rPr>
                <w:sz w:val="18"/>
                <w:szCs w:val="18"/>
              </w:rPr>
              <w:t>Pour 100 000 habitants de 15 à 74 ans</w:t>
            </w:r>
          </w:p>
        </w:tc>
        <w:tc>
          <w:tcPr>
            <w:tcW w:w="1821" w:type="dxa"/>
            <w:vAlign w:val="center"/>
          </w:tcPr>
          <w:p w14:paraId="662035A4" w14:textId="77777777" w:rsidR="00720CB2" w:rsidRDefault="00720CB2" w:rsidP="00720CB2">
            <w:pPr>
              <w:jc w:val="center"/>
              <w:rPr>
                <w:rFonts w:ascii="Calibri" w:hAnsi="Calibri"/>
                <w:sz w:val="18"/>
                <w:szCs w:val="18"/>
              </w:rPr>
            </w:pPr>
            <w:r>
              <w:rPr>
                <w:rFonts w:ascii="Calibri" w:hAnsi="Calibri"/>
                <w:sz w:val="18"/>
                <w:szCs w:val="18"/>
              </w:rPr>
              <w:t>0,8</w:t>
            </w:r>
          </w:p>
        </w:tc>
        <w:tc>
          <w:tcPr>
            <w:tcW w:w="1732" w:type="dxa"/>
            <w:vAlign w:val="center"/>
          </w:tcPr>
          <w:p w14:paraId="7CB6B9F4" w14:textId="77777777" w:rsidR="00720CB2" w:rsidRDefault="00720CB2" w:rsidP="00720CB2">
            <w:pPr>
              <w:jc w:val="center"/>
              <w:rPr>
                <w:rFonts w:ascii="Calibri" w:hAnsi="Calibri"/>
                <w:sz w:val="18"/>
                <w:szCs w:val="18"/>
              </w:rPr>
            </w:pPr>
            <w:r>
              <w:rPr>
                <w:rFonts w:ascii="Calibri" w:hAnsi="Calibri"/>
                <w:sz w:val="18"/>
                <w:szCs w:val="18"/>
              </w:rPr>
              <w:t>0,9</w:t>
            </w:r>
          </w:p>
        </w:tc>
        <w:tc>
          <w:tcPr>
            <w:tcW w:w="1704" w:type="dxa"/>
            <w:vAlign w:val="center"/>
          </w:tcPr>
          <w:p w14:paraId="0908BCA1" w14:textId="77777777" w:rsidR="00720CB2" w:rsidRDefault="00720CB2" w:rsidP="00720CB2">
            <w:pPr>
              <w:jc w:val="center"/>
              <w:rPr>
                <w:rFonts w:ascii="Calibri" w:hAnsi="Calibri"/>
                <w:sz w:val="18"/>
                <w:szCs w:val="18"/>
              </w:rPr>
            </w:pPr>
            <w:r>
              <w:rPr>
                <w:rFonts w:ascii="Calibri" w:hAnsi="Calibri"/>
                <w:sz w:val="18"/>
                <w:szCs w:val="18"/>
              </w:rPr>
              <w:t>8</w:t>
            </w:r>
          </w:p>
        </w:tc>
      </w:tr>
    </w:tbl>
    <w:p w14:paraId="401B7AEB" w14:textId="4D7B6FEF" w:rsidR="009C1862" w:rsidRPr="00C8318B" w:rsidRDefault="009C1862" w:rsidP="008361EB">
      <w:pPr>
        <w:pStyle w:val="Sous-titre"/>
        <w:rPr>
          <w:rFonts w:eastAsia="Arial Unicode MS"/>
        </w:rPr>
      </w:pPr>
      <w:r w:rsidRPr="00C8318B">
        <w:rPr>
          <w:rFonts w:eastAsia="Arial Unicode MS"/>
        </w:rPr>
        <w:t xml:space="preserve">Sources : </w:t>
      </w:r>
      <w:r w:rsidR="009E5BA6" w:rsidRPr="00C8318B">
        <w:rPr>
          <w:rFonts w:eastAsia="Arial Unicode MS"/>
        </w:rPr>
        <w:t>(1) INSERM-CépiDc, (2) ONISR, (3) GERS-S</w:t>
      </w:r>
      <w:r w:rsidR="008361EB">
        <w:rPr>
          <w:rFonts w:eastAsia="Arial Unicode MS"/>
        </w:rPr>
        <w:t>iamois, (4) Bouchara-Recordati</w:t>
      </w:r>
    </w:p>
    <w:p w14:paraId="79474FE0" w14:textId="77777777" w:rsidR="005E3085" w:rsidRDefault="005E3085" w:rsidP="00134A9B">
      <w:pPr>
        <w:tabs>
          <w:tab w:val="left" w:pos="2459"/>
        </w:tabs>
        <w:jc w:val="both"/>
        <w:rPr>
          <w:b/>
          <w:color w:val="000000" w:themeColor="text1"/>
          <w:sz w:val="18"/>
        </w:rPr>
      </w:pPr>
    </w:p>
    <w:p w14:paraId="3FD041A8" w14:textId="77777777" w:rsidR="000F59CE" w:rsidRDefault="000F59CE" w:rsidP="00AB57B2">
      <w:pPr>
        <w:tabs>
          <w:tab w:val="left" w:pos="2459"/>
        </w:tabs>
        <w:rPr>
          <w:b/>
          <w:color w:val="000000" w:themeColor="text1"/>
          <w:sz w:val="18"/>
        </w:rPr>
      </w:pPr>
    </w:p>
    <w:p w14:paraId="3373987B" w14:textId="77777777" w:rsidR="000F59CE" w:rsidRPr="008361EB" w:rsidRDefault="001175CB" w:rsidP="00134A9B">
      <w:pPr>
        <w:tabs>
          <w:tab w:val="left" w:pos="2459"/>
        </w:tabs>
        <w:jc w:val="both"/>
        <w:rPr>
          <w:rFonts w:asciiTheme="majorHAnsi" w:eastAsiaTheme="majorEastAsia" w:hAnsiTheme="majorHAnsi" w:cstheme="majorBidi"/>
          <w:b/>
          <w:color w:val="767171" w:themeColor="background2" w:themeShade="80"/>
          <w:sz w:val="24"/>
          <w:szCs w:val="24"/>
        </w:rPr>
      </w:pPr>
      <w:r w:rsidRPr="008361EB">
        <w:rPr>
          <w:rFonts w:asciiTheme="majorHAnsi" w:eastAsiaTheme="majorEastAsia" w:hAnsiTheme="majorHAnsi" w:cstheme="majorBidi"/>
          <w:b/>
          <w:color w:val="767171" w:themeColor="background2" w:themeShade="80"/>
          <w:sz w:val="24"/>
          <w:szCs w:val="24"/>
        </w:rPr>
        <w:t>Autres indicateurs liés aux usages de produits psychoactifs</w:t>
      </w:r>
    </w:p>
    <w:tbl>
      <w:tblPr>
        <w:tblStyle w:val="Grilledutableau"/>
        <w:tblW w:w="9209" w:type="dxa"/>
        <w:tblLook w:val="04A0" w:firstRow="1" w:lastRow="0" w:firstColumn="1" w:lastColumn="0" w:noHBand="0" w:noVBand="1"/>
      </w:tblPr>
      <w:tblGrid>
        <w:gridCol w:w="2249"/>
        <w:gridCol w:w="1761"/>
        <w:gridCol w:w="1797"/>
        <w:gridCol w:w="1711"/>
        <w:gridCol w:w="1691"/>
      </w:tblGrid>
      <w:tr w:rsidR="00C41E43" w14:paraId="5DD09AC1" w14:textId="77777777" w:rsidTr="00A321A9">
        <w:trPr>
          <w:trHeight w:val="463"/>
        </w:trPr>
        <w:tc>
          <w:tcPr>
            <w:tcW w:w="2249" w:type="dxa"/>
            <w:shd w:val="clear" w:color="auto" w:fill="D5D5CB"/>
            <w:vAlign w:val="center"/>
          </w:tcPr>
          <w:p w14:paraId="74AD8757" w14:textId="77777777" w:rsidR="00C41E43" w:rsidRDefault="00C41E43" w:rsidP="00134A9B">
            <w:pPr>
              <w:tabs>
                <w:tab w:val="left" w:pos="2459"/>
              </w:tabs>
              <w:jc w:val="both"/>
              <w:rPr>
                <w:b/>
                <w:color w:val="000000" w:themeColor="text1"/>
                <w:sz w:val="18"/>
              </w:rPr>
            </w:pPr>
          </w:p>
        </w:tc>
        <w:tc>
          <w:tcPr>
            <w:tcW w:w="1761" w:type="dxa"/>
            <w:shd w:val="clear" w:color="auto" w:fill="D5D5CB"/>
            <w:vAlign w:val="center"/>
          </w:tcPr>
          <w:p w14:paraId="402DFA95" w14:textId="77777777" w:rsidR="00C41E43" w:rsidRDefault="00C41E43" w:rsidP="00134A9B">
            <w:pPr>
              <w:tabs>
                <w:tab w:val="left" w:pos="2459"/>
              </w:tabs>
              <w:jc w:val="both"/>
              <w:rPr>
                <w:b/>
                <w:color w:val="000000" w:themeColor="text1"/>
                <w:sz w:val="18"/>
              </w:rPr>
            </w:pPr>
          </w:p>
        </w:tc>
        <w:tc>
          <w:tcPr>
            <w:tcW w:w="1797" w:type="dxa"/>
            <w:shd w:val="clear" w:color="auto" w:fill="D5D5CB"/>
            <w:vAlign w:val="center"/>
          </w:tcPr>
          <w:p w14:paraId="3EF30836" w14:textId="77777777" w:rsidR="00C41E43" w:rsidRPr="00533B1C" w:rsidRDefault="00720CB2" w:rsidP="008361EB">
            <w:pPr>
              <w:tabs>
                <w:tab w:val="left" w:pos="2459"/>
              </w:tabs>
              <w:jc w:val="center"/>
              <w:rPr>
                <w:b/>
                <w:color w:val="000000" w:themeColor="text1"/>
                <w:sz w:val="20"/>
                <w:szCs w:val="20"/>
              </w:rPr>
            </w:pPr>
            <w:r>
              <w:rPr>
                <w:b/>
                <w:sz w:val="20"/>
                <w:szCs w:val="18"/>
              </w:rPr>
              <w:t>Auvergne-Rhône-Alpes</w:t>
            </w:r>
          </w:p>
        </w:tc>
        <w:tc>
          <w:tcPr>
            <w:tcW w:w="1711" w:type="dxa"/>
            <w:shd w:val="clear" w:color="auto" w:fill="D5D5CB"/>
            <w:vAlign w:val="center"/>
          </w:tcPr>
          <w:p w14:paraId="0C8ED08B" w14:textId="3463B8C1" w:rsidR="00C41E43" w:rsidRPr="00533B1C" w:rsidRDefault="001811D6" w:rsidP="008361EB">
            <w:pPr>
              <w:tabs>
                <w:tab w:val="left" w:pos="2459"/>
              </w:tabs>
              <w:jc w:val="center"/>
              <w:rPr>
                <w:b/>
                <w:color w:val="000000" w:themeColor="text1"/>
                <w:sz w:val="20"/>
                <w:szCs w:val="20"/>
              </w:rPr>
            </w:pPr>
            <w:r>
              <w:rPr>
                <w:b/>
                <w:color w:val="000000" w:themeColor="text1"/>
                <w:sz w:val="20"/>
                <w:szCs w:val="20"/>
              </w:rPr>
              <w:t>France entière</w:t>
            </w:r>
          </w:p>
        </w:tc>
        <w:tc>
          <w:tcPr>
            <w:tcW w:w="1691" w:type="dxa"/>
            <w:shd w:val="clear" w:color="auto" w:fill="D5D5CB"/>
            <w:vAlign w:val="center"/>
          </w:tcPr>
          <w:p w14:paraId="5DE31E90" w14:textId="77777777" w:rsidR="00AE4C44" w:rsidRDefault="00AE4C44" w:rsidP="00AE4C44">
            <w:pPr>
              <w:tabs>
                <w:tab w:val="left" w:pos="2459"/>
              </w:tabs>
              <w:jc w:val="center"/>
              <w:rPr>
                <w:b/>
                <w:sz w:val="20"/>
                <w:szCs w:val="18"/>
              </w:rPr>
            </w:pPr>
            <w:r>
              <w:rPr>
                <w:b/>
                <w:sz w:val="20"/>
                <w:szCs w:val="18"/>
              </w:rPr>
              <w:t>Rang</w:t>
            </w:r>
          </w:p>
          <w:p w14:paraId="6D1871BF" w14:textId="77777777" w:rsidR="00C41E43" w:rsidRPr="00533B1C" w:rsidRDefault="00AE4C44" w:rsidP="00AE4C44">
            <w:pPr>
              <w:tabs>
                <w:tab w:val="left" w:pos="2459"/>
              </w:tabs>
              <w:jc w:val="center"/>
              <w:rPr>
                <w:b/>
                <w:color w:val="000000" w:themeColor="text1"/>
                <w:sz w:val="20"/>
                <w:szCs w:val="20"/>
              </w:rPr>
            </w:pPr>
            <w:r w:rsidRPr="00AE4C44">
              <w:rPr>
                <w:sz w:val="16"/>
                <w:szCs w:val="16"/>
              </w:rPr>
              <w:t>(parmi les 13 régions métropolitaines)</w:t>
            </w:r>
          </w:p>
        </w:tc>
      </w:tr>
      <w:tr w:rsidR="00720CB2" w14:paraId="3AFD3123" w14:textId="77777777" w:rsidTr="00AE4C44">
        <w:trPr>
          <w:trHeight w:val="705"/>
        </w:trPr>
        <w:tc>
          <w:tcPr>
            <w:tcW w:w="2249" w:type="dxa"/>
            <w:vAlign w:val="center"/>
          </w:tcPr>
          <w:p w14:paraId="26CDCD62" w14:textId="77777777" w:rsidR="00720CB2" w:rsidRPr="005E3085" w:rsidRDefault="00720CB2" w:rsidP="00720CB2">
            <w:pPr>
              <w:tabs>
                <w:tab w:val="left" w:pos="2459"/>
              </w:tabs>
              <w:rPr>
                <w:sz w:val="18"/>
                <w:szCs w:val="18"/>
              </w:rPr>
            </w:pPr>
            <w:r w:rsidRPr="005E3085">
              <w:rPr>
                <w:sz w:val="18"/>
                <w:szCs w:val="18"/>
              </w:rPr>
              <w:t>Interpellations pour ivresse sur la voie publique</w:t>
            </w:r>
            <w:r>
              <w:rPr>
                <w:sz w:val="18"/>
                <w:szCs w:val="18"/>
              </w:rPr>
              <w:t xml:space="preserve"> (2017)</w:t>
            </w:r>
            <w:r w:rsidRPr="009E5BA6">
              <w:rPr>
                <w:sz w:val="18"/>
                <w:szCs w:val="18"/>
                <w:vertAlign w:val="superscript"/>
              </w:rPr>
              <w:t xml:space="preserve"> </w:t>
            </w:r>
            <w:r>
              <w:rPr>
                <w:sz w:val="18"/>
                <w:szCs w:val="18"/>
                <w:vertAlign w:val="superscript"/>
              </w:rPr>
              <w:t>1</w:t>
            </w:r>
          </w:p>
        </w:tc>
        <w:tc>
          <w:tcPr>
            <w:tcW w:w="1761" w:type="dxa"/>
            <w:vAlign w:val="center"/>
          </w:tcPr>
          <w:p w14:paraId="404CF853" w14:textId="77777777" w:rsidR="00720CB2" w:rsidRPr="005E3085" w:rsidRDefault="00720CB2" w:rsidP="00720CB2">
            <w:pPr>
              <w:tabs>
                <w:tab w:val="left" w:pos="2459"/>
              </w:tabs>
              <w:rPr>
                <w:sz w:val="18"/>
                <w:szCs w:val="18"/>
              </w:rPr>
            </w:pPr>
            <w:r>
              <w:rPr>
                <w:sz w:val="18"/>
                <w:szCs w:val="18"/>
              </w:rPr>
              <w:t>Pour 10 </w:t>
            </w:r>
            <w:r w:rsidRPr="005E3085">
              <w:rPr>
                <w:sz w:val="18"/>
                <w:szCs w:val="18"/>
              </w:rPr>
              <w:t>000 habitants de</w:t>
            </w:r>
            <w:r>
              <w:rPr>
                <w:sz w:val="18"/>
                <w:szCs w:val="18"/>
              </w:rPr>
              <w:t xml:space="preserve"> </w:t>
            </w:r>
            <w:r w:rsidRPr="005E3085">
              <w:rPr>
                <w:sz w:val="18"/>
                <w:szCs w:val="18"/>
              </w:rPr>
              <w:t>15 à 74 ans</w:t>
            </w:r>
          </w:p>
        </w:tc>
        <w:tc>
          <w:tcPr>
            <w:tcW w:w="1797" w:type="dxa"/>
            <w:vAlign w:val="center"/>
          </w:tcPr>
          <w:p w14:paraId="63DF6C2E" w14:textId="77777777" w:rsidR="00720CB2" w:rsidRDefault="00720CB2" w:rsidP="00720CB2">
            <w:pPr>
              <w:jc w:val="center"/>
              <w:rPr>
                <w:rFonts w:ascii="Calibri" w:hAnsi="Calibri"/>
                <w:sz w:val="18"/>
                <w:szCs w:val="18"/>
              </w:rPr>
            </w:pPr>
            <w:r>
              <w:rPr>
                <w:rFonts w:ascii="Calibri" w:hAnsi="Calibri"/>
                <w:sz w:val="18"/>
                <w:szCs w:val="18"/>
              </w:rPr>
              <w:t>6,7</w:t>
            </w:r>
          </w:p>
        </w:tc>
        <w:tc>
          <w:tcPr>
            <w:tcW w:w="1711" w:type="dxa"/>
            <w:vAlign w:val="center"/>
          </w:tcPr>
          <w:p w14:paraId="0D460D5C" w14:textId="77777777" w:rsidR="00720CB2" w:rsidRDefault="00720CB2" w:rsidP="00720CB2">
            <w:pPr>
              <w:jc w:val="center"/>
              <w:rPr>
                <w:rFonts w:ascii="Calibri" w:hAnsi="Calibri"/>
                <w:sz w:val="18"/>
                <w:szCs w:val="18"/>
              </w:rPr>
            </w:pPr>
            <w:r>
              <w:rPr>
                <w:rFonts w:ascii="Calibri" w:hAnsi="Calibri"/>
                <w:sz w:val="18"/>
                <w:szCs w:val="18"/>
              </w:rPr>
              <w:t>10,9</w:t>
            </w:r>
          </w:p>
        </w:tc>
        <w:tc>
          <w:tcPr>
            <w:tcW w:w="1691" w:type="dxa"/>
            <w:vAlign w:val="center"/>
          </w:tcPr>
          <w:p w14:paraId="537B446F" w14:textId="77777777" w:rsidR="00720CB2" w:rsidRDefault="00720CB2" w:rsidP="00720CB2">
            <w:pPr>
              <w:jc w:val="center"/>
              <w:rPr>
                <w:rFonts w:ascii="Calibri" w:hAnsi="Calibri"/>
                <w:sz w:val="18"/>
                <w:szCs w:val="18"/>
              </w:rPr>
            </w:pPr>
            <w:r>
              <w:rPr>
                <w:rFonts w:ascii="Calibri" w:hAnsi="Calibri"/>
                <w:sz w:val="18"/>
                <w:szCs w:val="18"/>
              </w:rPr>
              <w:t>12</w:t>
            </w:r>
          </w:p>
        </w:tc>
      </w:tr>
      <w:tr w:rsidR="00720CB2" w14:paraId="51D5083F" w14:textId="77777777" w:rsidTr="00AE4C44">
        <w:trPr>
          <w:trHeight w:val="683"/>
        </w:trPr>
        <w:tc>
          <w:tcPr>
            <w:tcW w:w="2249" w:type="dxa"/>
            <w:vAlign w:val="center"/>
          </w:tcPr>
          <w:p w14:paraId="1E52EB40" w14:textId="77777777" w:rsidR="00720CB2" w:rsidRPr="005E3085" w:rsidRDefault="00720CB2" w:rsidP="00720CB2">
            <w:pPr>
              <w:tabs>
                <w:tab w:val="left" w:pos="2459"/>
              </w:tabs>
              <w:rPr>
                <w:sz w:val="18"/>
                <w:szCs w:val="18"/>
              </w:rPr>
            </w:pPr>
            <w:r>
              <w:rPr>
                <w:sz w:val="18"/>
                <w:szCs w:val="18"/>
              </w:rPr>
              <w:t>I</w:t>
            </w:r>
            <w:r w:rsidRPr="005E3085">
              <w:rPr>
                <w:sz w:val="18"/>
                <w:szCs w:val="18"/>
              </w:rPr>
              <w:t xml:space="preserve">nfractions à la </w:t>
            </w:r>
            <w:r>
              <w:rPr>
                <w:sz w:val="18"/>
                <w:szCs w:val="18"/>
              </w:rPr>
              <w:t>législation sur les stupéfiants pour ventes et usages/reventes (2018)</w:t>
            </w:r>
            <w:r w:rsidRPr="009E5BA6">
              <w:rPr>
                <w:sz w:val="18"/>
                <w:szCs w:val="18"/>
                <w:vertAlign w:val="superscript"/>
              </w:rPr>
              <w:t xml:space="preserve"> </w:t>
            </w:r>
            <w:r>
              <w:rPr>
                <w:sz w:val="18"/>
                <w:szCs w:val="18"/>
                <w:vertAlign w:val="superscript"/>
              </w:rPr>
              <w:t>2</w:t>
            </w:r>
          </w:p>
        </w:tc>
        <w:tc>
          <w:tcPr>
            <w:tcW w:w="1761" w:type="dxa"/>
            <w:vAlign w:val="center"/>
          </w:tcPr>
          <w:p w14:paraId="6E17C06D" w14:textId="77777777" w:rsidR="00720CB2" w:rsidRPr="005E3085" w:rsidRDefault="00720CB2" w:rsidP="00720CB2">
            <w:pPr>
              <w:tabs>
                <w:tab w:val="left" w:pos="2459"/>
              </w:tabs>
              <w:rPr>
                <w:sz w:val="18"/>
                <w:szCs w:val="18"/>
              </w:rPr>
            </w:pPr>
            <w:r>
              <w:rPr>
                <w:sz w:val="18"/>
                <w:szCs w:val="18"/>
              </w:rPr>
              <w:t>Pour 10 </w:t>
            </w:r>
            <w:r w:rsidRPr="005E3085">
              <w:rPr>
                <w:sz w:val="18"/>
                <w:szCs w:val="18"/>
              </w:rPr>
              <w:t>000 habitants de 15 à 74 ans</w:t>
            </w:r>
          </w:p>
        </w:tc>
        <w:tc>
          <w:tcPr>
            <w:tcW w:w="1797" w:type="dxa"/>
            <w:vAlign w:val="center"/>
          </w:tcPr>
          <w:p w14:paraId="203E0F0F" w14:textId="77777777" w:rsidR="00720CB2" w:rsidRDefault="00720CB2" w:rsidP="00720CB2">
            <w:pPr>
              <w:jc w:val="center"/>
              <w:rPr>
                <w:rFonts w:ascii="Calibri" w:hAnsi="Calibri"/>
                <w:sz w:val="18"/>
                <w:szCs w:val="18"/>
              </w:rPr>
            </w:pPr>
            <w:r>
              <w:rPr>
                <w:rFonts w:ascii="Calibri" w:hAnsi="Calibri"/>
                <w:sz w:val="18"/>
                <w:szCs w:val="18"/>
              </w:rPr>
              <w:t>40,0</w:t>
            </w:r>
          </w:p>
        </w:tc>
        <w:tc>
          <w:tcPr>
            <w:tcW w:w="1711" w:type="dxa"/>
            <w:vAlign w:val="center"/>
          </w:tcPr>
          <w:p w14:paraId="07D476DD" w14:textId="77777777" w:rsidR="00720CB2" w:rsidRDefault="00720CB2" w:rsidP="00720CB2">
            <w:pPr>
              <w:jc w:val="center"/>
              <w:rPr>
                <w:rFonts w:ascii="Calibri" w:hAnsi="Calibri"/>
                <w:sz w:val="18"/>
                <w:szCs w:val="18"/>
              </w:rPr>
            </w:pPr>
            <w:r>
              <w:rPr>
                <w:rFonts w:ascii="Calibri" w:hAnsi="Calibri"/>
                <w:sz w:val="18"/>
                <w:szCs w:val="18"/>
              </w:rPr>
              <w:t>41,2</w:t>
            </w:r>
          </w:p>
        </w:tc>
        <w:tc>
          <w:tcPr>
            <w:tcW w:w="1691" w:type="dxa"/>
            <w:vAlign w:val="center"/>
          </w:tcPr>
          <w:p w14:paraId="7CE0A98A" w14:textId="77777777" w:rsidR="00720CB2" w:rsidRDefault="00720CB2" w:rsidP="00720CB2">
            <w:pPr>
              <w:jc w:val="center"/>
              <w:rPr>
                <w:rFonts w:ascii="Calibri" w:hAnsi="Calibri"/>
                <w:sz w:val="18"/>
                <w:szCs w:val="18"/>
              </w:rPr>
            </w:pPr>
            <w:r>
              <w:rPr>
                <w:rFonts w:ascii="Calibri" w:hAnsi="Calibri"/>
                <w:sz w:val="18"/>
                <w:szCs w:val="18"/>
              </w:rPr>
              <w:t>4</w:t>
            </w:r>
          </w:p>
        </w:tc>
      </w:tr>
    </w:tbl>
    <w:p w14:paraId="74AA2F20" w14:textId="77777777" w:rsidR="006446A1" w:rsidRPr="00C8318B" w:rsidRDefault="009C1862" w:rsidP="008361EB">
      <w:pPr>
        <w:pStyle w:val="Sous-titre"/>
        <w:rPr>
          <w:rFonts w:eastAsia="Arial Unicode MS"/>
        </w:rPr>
      </w:pPr>
      <w:r w:rsidRPr="00C8318B">
        <w:rPr>
          <w:rFonts w:eastAsia="Arial Unicode MS"/>
        </w:rPr>
        <w:t>Sources : (</w:t>
      </w:r>
      <w:r w:rsidR="00C41E43">
        <w:rPr>
          <w:rFonts w:eastAsia="Arial Unicode MS"/>
        </w:rPr>
        <w:t>1</w:t>
      </w:r>
      <w:r w:rsidRPr="00C8318B">
        <w:rPr>
          <w:rFonts w:eastAsia="Arial Unicode MS"/>
        </w:rPr>
        <w:t xml:space="preserve">) </w:t>
      </w:r>
      <w:r w:rsidR="00C8318B" w:rsidRPr="00C8318B">
        <w:rPr>
          <w:rFonts w:eastAsia="Arial Unicode MS"/>
        </w:rPr>
        <w:t>DGGN/DGPN/Préfecture de police de Paris, (</w:t>
      </w:r>
      <w:r w:rsidR="00C41E43">
        <w:rPr>
          <w:rFonts w:eastAsia="Arial Unicode MS"/>
        </w:rPr>
        <w:t>2</w:t>
      </w:r>
      <w:r w:rsidR="00C8318B" w:rsidRPr="00C8318B">
        <w:rPr>
          <w:rFonts w:eastAsia="Arial Unicode MS"/>
        </w:rPr>
        <w:t xml:space="preserve">) </w:t>
      </w:r>
      <w:r w:rsidR="006446A1" w:rsidRPr="00C8318B">
        <w:rPr>
          <w:rFonts w:eastAsia="Arial Unicode MS"/>
        </w:rPr>
        <w:t>Etat 4001</w:t>
      </w:r>
    </w:p>
    <w:sectPr w:rsidR="006446A1" w:rsidRPr="00C8318B" w:rsidSect="002407C0">
      <w:footerReference w:type="default" r:id="rId9"/>
      <w:pgSz w:w="11906" w:h="16838"/>
      <w:pgMar w:top="1440" w:right="1080" w:bottom="1440" w:left="108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3FE5" w14:textId="77777777" w:rsidR="009950A9" w:rsidRDefault="009950A9" w:rsidP="009C1862">
      <w:pPr>
        <w:spacing w:after="0" w:line="240" w:lineRule="auto"/>
      </w:pPr>
      <w:r>
        <w:separator/>
      </w:r>
    </w:p>
  </w:endnote>
  <w:endnote w:type="continuationSeparator" w:id="0">
    <w:p w14:paraId="10D5C796" w14:textId="77777777" w:rsidR="009950A9" w:rsidRDefault="009950A9" w:rsidP="009C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ocra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BB32" w14:textId="4392947F" w:rsidR="009950A9" w:rsidRPr="00AE3AC0" w:rsidRDefault="002407C0" w:rsidP="002407C0">
    <w:pPr>
      <w:pStyle w:val="Pieddepage"/>
      <w:jc w:val="center"/>
      <w:rPr>
        <w:b/>
        <w:color w:val="767171"/>
        <w:sz w:val="20"/>
        <w:szCs w:val="20"/>
      </w:rPr>
    </w:pPr>
    <w:r>
      <w:rPr>
        <w:b/>
        <w:noProof/>
        <w:color w:val="767171"/>
        <w:sz w:val="20"/>
        <w:szCs w:val="20"/>
      </w:rPr>
      <w:drawing>
        <wp:inline distT="0" distB="0" distL="0" distR="0" wp14:anchorId="4166FE7C" wp14:editId="1C94CAFF">
          <wp:extent cx="257175" cy="257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dt (carré) [Converti].png"/>
                  <pic:cNvPicPr/>
                </pic:nvPicPr>
                <pic:blipFill>
                  <a:blip r:embed="rId1"/>
                  <a:stretch>
                    <a:fillRect/>
                  </a:stretch>
                </pic:blipFill>
                <pic:spPr>
                  <a:xfrm>
                    <a:off x="0" y="0"/>
                    <a:ext cx="257189" cy="257189"/>
                  </a:xfrm>
                  <a:prstGeom prst="rect">
                    <a:avLst/>
                  </a:prstGeom>
                </pic:spPr>
              </pic:pic>
            </a:graphicData>
          </a:graphic>
        </wp:inline>
      </w:drawing>
    </w:r>
    <w:r>
      <w:rPr>
        <w:b/>
        <w:color w:val="767171"/>
        <w:sz w:val="20"/>
        <w:szCs w:val="20"/>
      </w:rPr>
      <w:t xml:space="preserve">           </w:t>
    </w:r>
    <w:r w:rsidR="009950A9" w:rsidRPr="00AE3AC0">
      <w:rPr>
        <w:b/>
        <w:color w:val="767171"/>
        <w:sz w:val="20"/>
        <w:szCs w:val="20"/>
      </w:rPr>
      <w:t>© OFDT – Données extraites de la base ODICER (https://odicer.ofdt.fr/</w:t>
    </w:r>
    <w:r w:rsidR="00F040E0">
      <w:rPr>
        <w:b/>
        <w:color w:val="767171"/>
        <w:sz w:val="20"/>
        <w:szCs w:val="20"/>
      </w:rPr>
      <w:t>mobile.php</w:t>
    </w:r>
    <w:r w:rsidR="009950A9" w:rsidRPr="00AE3AC0">
      <w:rPr>
        <w:b/>
        <w:color w:val="767171"/>
        <w:sz w:val="20"/>
        <w:szCs w:val="20"/>
      </w:rPr>
      <w:t>)</w:t>
    </w:r>
  </w:p>
  <w:p w14:paraId="765336D1" w14:textId="77777777" w:rsidR="009950A9" w:rsidRDefault="009950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4FFC" w14:textId="77777777" w:rsidR="009950A9" w:rsidRDefault="009950A9" w:rsidP="009C1862">
      <w:pPr>
        <w:spacing w:after="0" w:line="240" w:lineRule="auto"/>
      </w:pPr>
      <w:r>
        <w:separator/>
      </w:r>
    </w:p>
  </w:footnote>
  <w:footnote w:type="continuationSeparator" w:id="0">
    <w:p w14:paraId="0C24784E" w14:textId="77777777" w:rsidR="009950A9" w:rsidRDefault="009950A9" w:rsidP="009C1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76"/>
    <w:rsid w:val="00042106"/>
    <w:rsid w:val="000F12BC"/>
    <w:rsid w:val="000F59CE"/>
    <w:rsid w:val="000F609D"/>
    <w:rsid w:val="001175CB"/>
    <w:rsid w:val="0012151D"/>
    <w:rsid w:val="00134A9B"/>
    <w:rsid w:val="0014685F"/>
    <w:rsid w:val="001539C7"/>
    <w:rsid w:val="001811D6"/>
    <w:rsid w:val="001A385F"/>
    <w:rsid w:val="001B60C8"/>
    <w:rsid w:val="001D5F3F"/>
    <w:rsid w:val="001E2849"/>
    <w:rsid w:val="001F7C76"/>
    <w:rsid w:val="00212A7B"/>
    <w:rsid w:val="002407C0"/>
    <w:rsid w:val="002849AA"/>
    <w:rsid w:val="00297D29"/>
    <w:rsid w:val="00340BB1"/>
    <w:rsid w:val="00346D5C"/>
    <w:rsid w:val="00357DAB"/>
    <w:rsid w:val="003616CE"/>
    <w:rsid w:val="00395489"/>
    <w:rsid w:val="00444F5B"/>
    <w:rsid w:val="00450AA9"/>
    <w:rsid w:val="00482011"/>
    <w:rsid w:val="004F2570"/>
    <w:rsid w:val="00533B1C"/>
    <w:rsid w:val="00557DB0"/>
    <w:rsid w:val="005C7D85"/>
    <w:rsid w:val="005E3085"/>
    <w:rsid w:val="00643EF2"/>
    <w:rsid w:val="006446A1"/>
    <w:rsid w:val="00664412"/>
    <w:rsid w:val="00672F96"/>
    <w:rsid w:val="006E4378"/>
    <w:rsid w:val="00720CB2"/>
    <w:rsid w:val="007B7CFB"/>
    <w:rsid w:val="007D4531"/>
    <w:rsid w:val="007F1849"/>
    <w:rsid w:val="007F30CF"/>
    <w:rsid w:val="008361EB"/>
    <w:rsid w:val="00867DB9"/>
    <w:rsid w:val="00893D49"/>
    <w:rsid w:val="0089402F"/>
    <w:rsid w:val="008948E0"/>
    <w:rsid w:val="00897AD5"/>
    <w:rsid w:val="008E7F9D"/>
    <w:rsid w:val="009950A9"/>
    <w:rsid w:val="009C1862"/>
    <w:rsid w:val="009E5BA6"/>
    <w:rsid w:val="00A2509F"/>
    <w:rsid w:val="00A321A9"/>
    <w:rsid w:val="00A53360"/>
    <w:rsid w:val="00A64905"/>
    <w:rsid w:val="00A724E9"/>
    <w:rsid w:val="00A75BB0"/>
    <w:rsid w:val="00AA2A77"/>
    <w:rsid w:val="00AB1FE2"/>
    <w:rsid w:val="00AB57B2"/>
    <w:rsid w:val="00AC1C2B"/>
    <w:rsid w:val="00AE3AC0"/>
    <w:rsid w:val="00AE4C44"/>
    <w:rsid w:val="00AF147D"/>
    <w:rsid w:val="00B15545"/>
    <w:rsid w:val="00B42D66"/>
    <w:rsid w:val="00B66DE2"/>
    <w:rsid w:val="00B82145"/>
    <w:rsid w:val="00BC59E4"/>
    <w:rsid w:val="00C048FD"/>
    <w:rsid w:val="00C1652D"/>
    <w:rsid w:val="00C41E43"/>
    <w:rsid w:val="00C8318B"/>
    <w:rsid w:val="00CA27BF"/>
    <w:rsid w:val="00CB02F4"/>
    <w:rsid w:val="00CB5416"/>
    <w:rsid w:val="00D34329"/>
    <w:rsid w:val="00D34C73"/>
    <w:rsid w:val="00D84719"/>
    <w:rsid w:val="00DC15D8"/>
    <w:rsid w:val="00E715CC"/>
    <w:rsid w:val="00EB1D58"/>
    <w:rsid w:val="00EC2B3A"/>
    <w:rsid w:val="00F040E0"/>
    <w:rsid w:val="00F155EF"/>
    <w:rsid w:val="00F21E1B"/>
    <w:rsid w:val="00F4642A"/>
    <w:rsid w:val="00F616B9"/>
    <w:rsid w:val="00F6482C"/>
    <w:rsid w:val="00F675BF"/>
    <w:rsid w:val="00F87F70"/>
    <w:rsid w:val="00FD41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91B104"/>
  <w15:docId w15:val="{30125CFF-93A9-4B47-9B78-7160149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7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24E9"/>
    <w:pPr>
      <w:keepNext/>
      <w:keepLines/>
      <w:spacing w:after="0" w:line="240" w:lineRule="exact"/>
      <w:outlineLvl w:val="1"/>
    </w:pPr>
    <w:rPr>
      <w:rFonts w:asciiTheme="majorHAnsi" w:eastAsiaTheme="majorEastAsia" w:hAnsiTheme="majorHAnsi" w:cstheme="majorBidi"/>
      <w:b/>
      <w:color w:val="767171" w:themeColor="background2"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21E1B"/>
    <w:rPr>
      <w:sz w:val="16"/>
      <w:szCs w:val="16"/>
    </w:rPr>
  </w:style>
  <w:style w:type="paragraph" w:styleId="Commentaire">
    <w:name w:val="annotation text"/>
    <w:basedOn w:val="Normal"/>
    <w:link w:val="CommentaireCar"/>
    <w:uiPriority w:val="99"/>
    <w:semiHidden/>
    <w:unhideWhenUsed/>
    <w:rsid w:val="00F21E1B"/>
    <w:pPr>
      <w:widowControl w:val="0"/>
      <w:autoSpaceDE w:val="0"/>
      <w:autoSpaceDN w:val="0"/>
      <w:spacing w:after="0" w:line="240" w:lineRule="auto"/>
    </w:pPr>
    <w:rPr>
      <w:rFonts w:ascii="Optima" w:eastAsia="Optima" w:hAnsi="Optima" w:cs="Optima"/>
      <w:sz w:val="20"/>
      <w:szCs w:val="20"/>
    </w:rPr>
  </w:style>
  <w:style w:type="character" w:customStyle="1" w:styleId="CommentaireCar">
    <w:name w:val="Commentaire Car"/>
    <w:basedOn w:val="Policepardfaut"/>
    <w:link w:val="Commentaire"/>
    <w:uiPriority w:val="99"/>
    <w:semiHidden/>
    <w:rsid w:val="00F21E1B"/>
    <w:rPr>
      <w:rFonts w:ascii="Optima" w:eastAsia="Optima" w:hAnsi="Optima" w:cs="Optima"/>
      <w:sz w:val="20"/>
      <w:szCs w:val="20"/>
    </w:rPr>
  </w:style>
  <w:style w:type="paragraph" w:styleId="Textedebulles">
    <w:name w:val="Balloon Text"/>
    <w:basedOn w:val="Normal"/>
    <w:link w:val="TextedebullesCar"/>
    <w:uiPriority w:val="99"/>
    <w:semiHidden/>
    <w:unhideWhenUsed/>
    <w:rsid w:val="00F21E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E1B"/>
    <w:rPr>
      <w:rFonts w:ascii="Segoe UI" w:hAnsi="Segoe UI" w:cs="Segoe UI"/>
      <w:sz w:val="18"/>
      <w:szCs w:val="18"/>
    </w:rPr>
  </w:style>
  <w:style w:type="character" w:customStyle="1" w:styleId="Titre2Car">
    <w:name w:val="Titre 2 Car"/>
    <w:basedOn w:val="Policepardfaut"/>
    <w:link w:val="Titre2"/>
    <w:uiPriority w:val="9"/>
    <w:rsid w:val="00A724E9"/>
    <w:rPr>
      <w:rFonts w:asciiTheme="majorHAnsi" w:eastAsiaTheme="majorEastAsia" w:hAnsiTheme="majorHAnsi" w:cstheme="majorBidi"/>
      <w:b/>
      <w:color w:val="767171" w:themeColor="background2" w:themeShade="80"/>
      <w:sz w:val="24"/>
      <w:szCs w:val="24"/>
    </w:rPr>
  </w:style>
  <w:style w:type="table" w:styleId="Grilledutableau">
    <w:name w:val="Table Grid"/>
    <w:basedOn w:val="TableauNormal"/>
    <w:uiPriority w:val="39"/>
    <w:rsid w:val="001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361EB"/>
    <w:pPr>
      <w:numPr>
        <w:ilvl w:val="1"/>
      </w:numPr>
      <w:spacing w:after="120"/>
    </w:pPr>
    <w:rPr>
      <w:rFonts w:eastAsiaTheme="minorEastAsia"/>
      <w:color w:val="5A5A5A" w:themeColor="text1" w:themeTint="A5"/>
      <w:spacing w:val="15"/>
      <w:sz w:val="20"/>
      <w:szCs w:val="20"/>
    </w:rPr>
  </w:style>
  <w:style w:type="character" w:customStyle="1" w:styleId="Sous-titreCar">
    <w:name w:val="Sous-titre Car"/>
    <w:basedOn w:val="Policepardfaut"/>
    <w:link w:val="Sous-titre"/>
    <w:uiPriority w:val="11"/>
    <w:rsid w:val="008361EB"/>
    <w:rPr>
      <w:rFonts w:eastAsiaTheme="minorEastAsia"/>
      <w:color w:val="5A5A5A" w:themeColor="text1" w:themeTint="A5"/>
      <w:spacing w:val="15"/>
      <w:sz w:val="20"/>
      <w:szCs w:val="20"/>
    </w:rPr>
  </w:style>
  <w:style w:type="paragraph" w:styleId="Notedebasdepage">
    <w:name w:val="footnote text"/>
    <w:basedOn w:val="Normal"/>
    <w:link w:val="NotedebasdepageCar"/>
    <w:unhideWhenUsed/>
    <w:rsid w:val="009C1862"/>
    <w:pPr>
      <w:widowControl w:val="0"/>
      <w:autoSpaceDE w:val="0"/>
      <w:autoSpaceDN w:val="0"/>
      <w:spacing w:after="0" w:line="240" w:lineRule="auto"/>
    </w:pPr>
    <w:rPr>
      <w:rFonts w:ascii="Optima" w:eastAsia="Optima" w:hAnsi="Optima" w:cs="Optima"/>
      <w:sz w:val="20"/>
      <w:szCs w:val="20"/>
    </w:rPr>
  </w:style>
  <w:style w:type="character" w:customStyle="1" w:styleId="NotedebasdepageCar">
    <w:name w:val="Note de bas de page Car"/>
    <w:basedOn w:val="Policepardfaut"/>
    <w:link w:val="Notedebasdepage"/>
    <w:rsid w:val="009C1862"/>
    <w:rPr>
      <w:rFonts w:ascii="Optima" w:eastAsia="Optima" w:hAnsi="Optima" w:cs="Optima"/>
      <w:sz w:val="20"/>
      <w:szCs w:val="20"/>
    </w:rPr>
  </w:style>
  <w:style w:type="character" w:styleId="Appelnotedebasdep">
    <w:name w:val="footnote reference"/>
    <w:basedOn w:val="Policepardfaut"/>
    <w:unhideWhenUsed/>
    <w:rsid w:val="009C1862"/>
    <w:rPr>
      <w:vertAlign w:val="superscript"/>
    </w:rPr>
  </w:style>
  <w:style w:type="paragraph" w:styleId="En-tte">
    <w:name w:val="header"/>
    <w:basedOn w:val="Normal"/>
    <w:link w:val="En-tteCar"/>
    <w:uiPriority w:val="99"/>
    <w:unhideWhenUsed/>
    <w:rsid w:val="0014685F"/>
    <w:pPr>
      <w:tabs>
        <w:tab w:val="center" w:pos="4536"/>
        <w:tab w:val="right" w:pos="9072"/>
      </w:tabs>
      <w:spacing w:after="0" w:line="240" w:lineRule="auto"/>
    </w:pPr>
  </w:style>
  <w:style w:type="character" w:customStyle="1" w:styleId="En-tteCar">
    <w:name w:val="En-tête Car"/>
    <w:basedOn w:val="Policepardfaut"/>
    <w:link w:val="En-tte"/>
    <w:uiPriority w:val="99"/>
    <w:rsid w:val="0014685F"/>
  </w:style>
  <w:style w:type="paragraph" w:styleId="Pieddepage">
    <w:name w:val="footer"/>
    <w:basedOn w:val="Normal"/>
    <w:link w:val="PieddepageCar"/>
    <w:uiPriority w:val="99"/>
    <w:unhideWhenUsed/>
    <w:rsid w:val="00146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85F"/>
  </w:style>
  <w:style w:type="paragraph" w:styleId="Sansinterligne">
    <w:name w:val="No Spacing"/>
    <w:uiPriority w:val="1"/>
    <w:qFormat/>
    <w:rsid w:val="005C7D85"/>
    <w:pPr>
      <w:spacing w:after="0" w:line="240" w:lineRule="auto"/>
    </w:pPr>
  </w:style>
  <w:style w:type="character" w:customStyle="1" w:styleId="Titre1Car">
    <w:name w:val="Titre 1 Car"/>
    <w:basedOn w:val="Policepardfaut"/>
    <w:link w:val="Titre1"/>
    <w:uiPriority w:val="9"/>
    <w:rsid w:val="005C7D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3802">
      <w:bodyDiv w:val="1"/>
      <w:marLeft w:val="0"/>
      <w:marRight w:val="0"/>
      <w:marTop w:val="0"/>
      <w:marBottom w:val="0"/>
      <w:divBdr>
        <w:top w:val="none" w:sz="0" w:space="0" w:color="auto"/>
        <w:left w:val="none" w:sz="0" w:space="0" w:color="auto"/>
        <w:bottom w:val="none" w:sz="0" w:space="0" w:color="auto"/>
        <w:right w:val="none" w:sz="0" w:space="0" w:color="auto"/>
      </w:divBdr>
    </w:div>
    <w:div w:id="444422925">
      <w:bodyDiv w:val="1"/>
      <w:marLeft w:val="0"/>
      <w:marRight w:val="0"/>
      <w:marTop w:val="0"/>
      <w:marBottom w:val="0"/>
      <w:divBdr>
        <w:top w:val="none" w:sz="0" w:space="0" w:color="auto"/>
        <w:left w:val="none" w:sz="0" w:space="0" w:color="auto"/>
        <w:bottom w:val="none" w:sz="0" w:space="0" w:color="auto"/>
        <w:right w:val="none" w:sz="0" w:space="0" w:color="auto"/>
      </w:divBdr>
    </w:div>
    <w:div w:id="608316568">
      <w:bodyDiv w:val="1"/>
      <w:marLeft w:val="0"/>
      <w:marRight w:val="0"/>
      <w:marTop w:val="0"/>
      <w:marBottom w:val="0"/>
      <w:divBdr>
        <w:top w:val="none" w:sz="0" w:space="0" w:color="auto"/>
        <w:left w:val="none" w:sz="0" w:space="0" w:color="auto"/>
        <w:bottom w:val="none" w:sz="0" w:space="0" w:color="auto"/>
        <w:right w:val="none" w:sz="0" w:space="0" w:color="auto"/>
      </w:divBdr>
    </w:div>
    <w:div w:id="640615485">
      <w:bodyDiv w:val="1"/>
      <w:marLeft w:val="0"/>
      <w:marRight w:val="0"/>
      <w:marTop w:val="0"/>
      <w:marBottom w:val="0"/>
      <w:divBdr>
        <w:top w:val="none" w:sz="0" w:space="0" w:color="auto"/>
        <w:left w:val="none" w:sz="0" w:space="0" w:color="auto"/>
        <w:bottom w:val="none" w:sz="0" w:space="0" w:color="auto"/>
        <w:right w:val="none" w:sz="0" w:space="0" w:color="auto"/>
      </w:divBdr>
    </w:div>
    <w:div w:id="1184250744">
      <w:bodyDiv w:val="1"/>
      <w:marLeft w:val="0"/>
      <w:marRight w:val="0"/>
      <w:marTop w:val="0"/>
      <w:marBottom w:val="0"/>
      <w:divBdr>
        <w:top w:val="none" w:sz="0" w:space="0" w:color="auto"/>
        <w:left w:val="none" w:sz="0" w:space="0" w:color="auto"/>
        <w:bottom w:val="none" w:sz="0" w:space="0" w:color="auto"/>
        <w:right w:val="none" w:sz="0" w:space="0" w:color="auto"/>
      </w:divBdr>
    </w:div>
    <w:div w:id="21041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 Nézet</dc:creator>
  <cp:keywords/>
  <dc:description/>
  <cp:lastModifiedBy>Thierry Delprat</cp:lastModifiedBy>
  <cp:revision>12</cp:revision>
  <cp:lastPrinted>2019-12-10T15:48:00Z</cp:lastPrinted>
  <dcterms:created xsi:type="dcterms:W3CDTF">2019-12-16T16:45:00Z</dcterms:created>
  <dcterms:modified xsi:type="dcterms:W3CDTF">2020-06-23T08:36:00Z</dcterms:modified>
</cp:coreProperties>
</file>