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B75C" w14:textId="4927873E" w:rsidR="00F616B9" w:rsidRDefault="009E5582" w:rsidP="005C7D85">
      <w:pPr>
        <w:ind w:left="142"/>
      </w:pPr>
      <w:r>
        <w:rPr>
          <w:noProof/>
          <w:lang w:eastAsia="fr-FR"/>
        </w:rPr>
        <w:pict w14:anchorId="32845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95pt">
            <v:imagedata r:id="rId6" o:title="En tête fiche régionale - Normandie V2"/>
          </v:shape>
        </w:pict>
      </w:r>
    </w:p>
    <w:p w14:paraId="4D650935" w14:textId="4495539C" w:rsidR="00AB57B2" w:rsidRPr="00AB57B2" w:rsidRDefault="0090137B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2F94A" wp14:editId="013FFBD1">
                <wp:simplePos x="0" y="0"/>
                <wp:positionH relativeFrom="column">
                  <wp:posOffset>117927</wp:posOffset>
                </wp:positionH>
                <wp:positionV relativeFrom="paragraph">
                  <wp:posOffset>990234</wp:posOffset>
                </wp:positionV>
                <wp:extent cx="454617" cy="4690820"/>
                <wp:effectExtent l="0" t="0" r="317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17" cy="4690820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D3CB" w14:textId="77777777" w:rsidR="001E2D3B" w:rsidRPr="008361EB" w:rsidRDefault="001E2D3B" w:rsidP="0075154C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2F94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.3pt;margin-top:77.95pt;width:35.8pt;height:3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5E19D3CB" w14:textId="77777777" w:rsidR="001E2D3B" w:rsidRPr="008361EB" w:rsidRDefault="001E2D3B" w:rsidP="0075154C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B5084" wp14:editId="2FB55992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6A79" w14:textId="77777777" w:rsidR="001E2D3B" w:rsidRDefault="001E2D3B" w:rsidP="00F616B9">
                            <w:pPr>
                              <w:ind w:left="851"/>
                              <w:jc w:val="both"/>
                            </w:pPr>
                          </w:p>
                          <w:p w14:paraId="4EE87F12" w14:textId="60233622" w:rsidR="001E2D3B" w:rsidRPr="00AA164D" w:rsidRDefault="001E2D3B" w:rsidP="00F616B9">
                            <w:pPr>
                              <w:ind w:left="851"/>
                              <w:jc w:val="both"/>
                            </w:pPr>
                            <w:r>
                              <w:t>L</w:t>
                            </w:r>
                            <w:r w:rsidRPr="00AA164D">
                              <w:t>a population adulte</w:t>
                            </w:r>
                            <w:r>
                              <w:t xml:space="preserve"> de Normandie présente des niveaux d’expérimentation du tabac supérie</w:t>
                            </w:r>
                            <w:r w:rsidR="00263641">
                              <w:t xml:space="preserve">urs à la moyenne </w:t>
                            </w:r>
                            <w:r w:rsidR="0075154C">
                              <w:t>nationale</w:t>
                            </w:r>
                            <w:r w:rsidR="00263641">
                              <w:t> </w:t>
                            </w:r>
                            <w:r>
                              <w:t>: en 2017, 78</w:t>
                            </w:r>
                            <w:r w:rsidR="0075154C">
                              <w:t> </w:t>
                            </w:r>
                            <w:r w:rsidRPr="00AA164D">
                              <w:t xml:space="preserve">% des 18-75 ans </w:t>
                            </w:r>
                            <w:r>
                              <w:t>ont fumé au moins une fois dans leur vie</w:t>
                            </w:r>
                            <w:r w:rsidRPr="00AA164D">
                              <w:t>, co</w:t>
                            </w:r>
                            <w:r>
                              <w:t xml:space="preserve">ntre </w:t>
                            </w:r>
                            <w:r w:rsidR="007248C9">
                              <w:t>76</w:t>
                            </w:r>
                            <w:r>
                              <w:t> </w:t>
                            </w:r>
                            <w:r w:rsidRPr="00AA164D">
                              <w:t>% sur l’ensemb</w:t>
                            </w:r>
                            <w:r>
                              <w:t xml:space="preserve">le de la France métropolitaine. Cette différence </w:t>
                            </w:r>
                            <w:r w:rsidR="008742D8">
                              <w:t>est portée par les hommes</w:t>
                            </w:r>
                            <w:r>
                              <w:t>.</w:t>
                            </w:r>
                            <w:r w:rsidRPr="00AA164D">
                              <w:t xml:space="preserve"> </w:t>
                            </w:r>
                            <w:r>
                              <w:t xml:space="preserve">Les jeunes </w:t>
                            </w:r>
                            <w:r w:rsidR="008742D8">
                              <w:t xml:space="preserve">de 17 ans </w:t>
                            </w:r>
                            <w:r>
                              <w:t>de la région présentent quant à eux des niveaux d’usages supérieurs, quel que soit l’indicateur retenu (expérimentation,</w:t>
                            </w:r>
                            <w:r w:rsidR="008742D8">
                              <w:t xml:space="preserve"> usage</w:t>
                            </w:r>
                            <w:r>
                              <w:t xml:space="preserve"> quotidien, </w:t>
                            </w:r>
                            <w:r w:rsidR="008742D8">
                              <w:t>usage « </w:t>
                            </w:r>
                            <w:r>
                              <w:t>intensif</w:t>
                            </w:r>
                            <w:r w:rsidR="008742D8">
                              <w:t> »</w:t>
                            </w:r>
                            <w:r>
                              <w:t>)</w:t>
                            </w:r>
                            <w:r w:rsidRPr="00AA164D">
                              <w:t xml:space="preserve">. </w:t>
                            </w:r>
                            <w:r>
                              <w:t>Dans ce contexte de consommation</w:t>
                            </w:r>
                            <w:r w:rsidRPr="00AA164D">
                              <w:t xml:space="preserve">, la mortalité liée aux cancers des voies pulmonaires </w:t>
                            </w:r>
                            <w:r>
                              <w:t>y est plus élevée que dans le reste de la</w:t>
                            </w:r>
                            <w:r w:rsidR="008742D8">
                              <w:t xml:space="preserve"> France</w:t>
                            </w:r>
                            <w:r>
                              <w:t xml:space="preserve"> métropol</w:t>
                            </w:r>
                            <w:r w:rsidR="008742D8">
                              <w:t>itaine</w:t>
                            </w:r>
                            <w:r w:rsidRPr="00AA164D">
                              <w:t xml:space="preserve">. </w:t>
                            </w:r>
                          </w:p>
                          <w:p w14:paraId="485FAA95" w14:textId="0D538D9B" w:rsidR="001E2D3B" w:rsidRDefault="001E2D3B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Les usages d’alcool en Normandie présentent un profil similaire : sur-expérimentation des adultes (97 % </w:t>
                            </w:r>
                            <w:r w:rsidRPr="007248C9">
                              <w:rPr>
                                <w:i/>
                              </w:rPr>
                              <w:t>vs</w:t>
                            </w:r>
                            <w:r>
                              <w:t xml:space="preserve"> </w:t>
                            </w:r>
                            <w:r w:rsidR="007248C9">
                              <w:t>95</w:t>
                            </w:r>
                            <w:r>
                              <w:t xml:space="preserve"> %, une différence cette fois </w:t>
                            </w:r>
                            <w:r w:rsidR="007D5EAE">
                              <w:t xml:space="preserve">imputable </w:t>
                            </w:r>
                            <w:r>
                              <w:t>aux femmes) et des jeunes de 17 ans qui se démarquent quasi-systématiquement des autres régions</w:t>
                            </w:r>
                            <w:r w:rsidR="0075154C">
                              <w:t xml:space="preserve"> </w:t>
                            </w:r>
                            <w:r>
                              <w:t>par des prévalences d’usage sensiblement plus élevées (7</w:t>
                            </w:r>
                            <w:r w:rsidR="007248C9">
                              <w:t xml:space="preserve">1 % d’usage dans le mois </w:t>
                            </w:r>
                            <w:r w:rsidR="007248C9" w:rsidRPr="00BF4D79">
                              <w:rPr>
                                <w:i/>
                              </w:rPr>
                              <w:t>vs</w:t>
                            </w:r>
                            <w:r w:rsidR="007248C9">
                              <w:t xml:space="preserve"> 66</w:t>
                            </w:r>
                            <w:r>
                              <w:t xml:space="preserve"> % </w:t>
                            </w:r>
                            <w:r w:rsidR="00263641">
                              <w:t>en France métropolitaine</w:t>
                            </w:r>
                            <w:r>
                              <w:t>). En termes de conséquences des usages, la région Normandie affiche des niveaux de mortalité prématurée liée à l’alcool</w:t>
                            </w:r>
                            <w:r w:rsidRPr="00F85A10">
                              <w:t xml:space="preserve"> </w:t>
                            </w:r>
                            <w:r>
                              <w:t>(alcoolisme et cirrhose) et d’accidents corporels supérieurs à la moyenne nationale.</w:t>
                            </w:r>
                          </w:p>
                          <w:p w14:paraId="191FF631" w14:textId="41E09D87" w:rsidR="001E2D3B" w:rsidRDefault="009369F4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La situation du cannabis </w:t>
                            </w:r>
                            <w:r w:rsidR="006A27AE">
                              <w:t xml:space="preserve">est </w:t>
                            </w:r>
                            <w:r w:rsidR="001E2D3B">
                              <w:t>diff</w:t>
                            </w:r>
                            <w:r w:rsidR="006A27AE">
                              <w:t>é</w:t>
                            </w:r>
                            <w:r>
                              <w:t>re</w:t>
                            </w:r>
                            <w:r w:rsidR="006A27AE">
                              <w:t xml:space="preserve">nte : </w:t>
                            </w:r>
                            <w:r w:rsidR="001E2D3B">
                              <w:t>globalement</w:t>
                            </w:r>
                            <w:r w:rsidR="006A27AE">
                              <w:t>,</w:t>
                            </w:r>
                            <w:r w:rsidR="001E2D3B">
                              <w:t xml:space="preserve"> les adultes et les jeunes Normands </w:t>
                            </w:r>
                            <w:r w:rsidR="0075154C">
                              <w:t>ont</w:t>
                            </w:r>
                            <w:r w:rsidR="001E2D3B">
                              <w:t xml:space="preserve"> des consommations comparables à ce</w:t>
                            </w:r>
                            <w:r w:rsidR="0075154C">
                              <w:t>lles</w:t>
                            </w:r>
                            <w:r w:rsidR="001E2D3B">
                              <w:t xml:space="preserve"> observé</w:t>
                            </w:r>
                            <w:r w:rsidR="00263641">
                              <w:t>e</w:t>
                            </w:r>
                            <w:r w:rsidR="00D36D0A">
                              <w:t>s</w:t>
                            </w:r>
                            <w:r w:rsidR="001E2D3B">
                              <w:t xml:space="preserve"> en France. Le nombre d’interpellations </w:t>
                            </w:r>
                            <w:r w:rsidR="001E2D3B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1E2D3B">
                              <w:rPr>
                                <w:spacing w:val="-3"/>
                              </w:rPr>
                              <w:t xml:space="preserve">ation sur les stupéfiants (ILS) </w:t>
                            </w:r>
                            <w:r w:rsidR="001E2D3B" w:rsidRPr="00EA0CBA">
                              <w:rPr>
                                <w:spacing w:val="-3"/>
                              </w:rPr>
                              <w:t xml:space="preserve">se situe </w:t>
                            </w:r>
                            <w:r w:rsidR="006A27AE">
                              <w:rPr>
                                <w:spacing w:val="-3"/>
                              </w:rPr>
                              <w:t xml:space="preserve">cependant </w:t>
                            </w:r>
                            <w:r w:rsidR="001E2D3B" w:rsidRPr="00EA0CBA">
                              <w:rPr>
                                <w:spacing w:val="-3"/>
                              </w:rPr>
                              <w:t xml:space="preserve">à un niveau </w:t>
                            </w:r>
                            <w:r w:rsidR="00325E4D">
                              <w:rPr>
                                <w:spacing w:val="-3"/>
                              </w:rPr>
                              <w:t xml:space="preserve">bien inférieur </w:t>
                            </w:r>
                            <w:r w:rsidR="001E2D3B">
                              <w:rPr>
                                <w:spacing w:val="-3"/>
                              </w:rPr>
                              <w:t xml:space="preserve">à celui de la France </w:t>
                            </w:r>
                            <w:r w:rsidR="001E2D3B"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1E2D3B">
                              <w:rPr>
                                <w:spacing w:val="-3"/>
                              </w:rPr>
                              <w:t xml:space="preserve"> (34,4 pour 10 000 </w:t>
                            </w:r>
                            <w:r w:rsidR="001E2D3B" w:rsidRPr="00BF4D79">
                              <w:rPr>
                                <w:i/>
                                <w:spacing w:val="-3"/>
                              </w:rPr>
                              <w:t>vs</w:t>
                            </w:r>
                            <w:r w:rsidR="001E2D3B">
                              <w:rPr>
                                <w:spacing w:val="-3"/>
                              </w:rPr>
                              <w:t xml:space="preserve"> 41,2).</w:t>
                            </w:r>
                          </w:p>
                          <w:p w14:paraId="7A346407" w14:textId="55822A4A" w:rsidR="001E2D3B" w:rsidRDefault="001E2D3B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S’agissant des autres produits illicites, la situation est plus contrastée : tandis que les niveaux d’usage chez</w:t>
                            </w:r>
                            <w:r w:rsidR="00D846B8">
                              <w:t xml:space="preserve"> les adultes de</w:t>
                            </w:r>
                            <w:r>
                              <w:t xml:space="preserve"> Normandie sont comparables aux autres régions pour la plupart des produits (à l’exception des poppers et de la cocaïne, inférieurs),</w:t>
                            </w:r>
                            <w:r w:rsidR="0090137B">
                              <w:t xml:space="preserve"> l</w:t>
                            </w:r>
                            <w:r>
                              <w:t xml:space="preserve">es jeunes de 17 ans </w:t>
                            </w:r>
                            <w:r w:rsidR="0075154C">
                              <w:t>o</w:t>
                            </w:r>
                            <w:r w:rsidR="0090137B">
                              <w:t>nt</w:t>
                            </w:r>
                            <w:r>
                              <w:t xml:space="preserve"> des niveaux d’expérimentation plus élevés que leurs semblables en </w:t>
                            </w:r>
                            <w:r w:rsidR="0090137B">
                              <w:t>France, e</w:t>
                            </w:r>
                            <w:r w:rsidR="00D846B8">
                              <w:t>t plus particuliè</w:t>
                            </w:r>
                            <w:r w:rsidR="0090137B">
                              <w:t>r</w:t>
                            </w:r>
                            <w:r w:rsidR="00D846B8">
                              <w:t>ement</w:t>
                            </w:r>
                            <w:r w:rsidR="0090137B">
                              <w:t xml:space="preserve"> </w:t>
                            </w:r>
                            <w:r w:rsidR="0075154C">
                              <w:t>pour les</w:t>
                            </w:r>
                            <w:r w:rsidR="0090137B">
                              <w:t xml:space="preserve"> stimulants (cocaïne et </w:t>
                            </w:r>
                            <w:r w:rsidR="007D5EAE">
                              <w:t>MDMA/</w:t>
                            </w:r>
                            <w:r w:rsidR="00F40D70">
                              <w:t>ecstasy</w:t>
                            </w:r>
                            <w:r w:rsidR="0090137B">
                              <w:t>)</w:t>
                            </w:r>
                            <w:r>
                              <w:t xml:space="preserve">. </w:t>
                            </w:r>
                          </w:p>
                          <w:p w14:paraId="46EE6384" w14:textId="77777777" w:rsidR="001E2D3B" w:rsidRDefault="001E2D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5084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47136A79" w14:textId="77777777" w:rsidR="001E2D3B" w:rsidRDefault="001E2D3B" w:rsidP="00F616B9">
                      <w:pPr>
                        <w:ind w:left="851"/>
                        <w:jc w:val="both"/>
                      </w:pPr>
                    </w:p>
                    <w:p w14:paraId="4EE87F12" w14:textId="60233622" w:rsidR="001E2D3B" w:rsidRPr="00AA164D" w:rsidRDefault="001E2D3B" w:rsidP="00F616B9">
                      <w:pPr>
                        <w:ind w:left="851"/>
                        <w:jc w:val="both"/>
                      </w:pPr>
                      <w:r>
                        <w:t>L</w:t>
                      </w:r>
                      <w:r w:rsidRPr="00AA164D">
                        <w:t>a population adulte</w:t>
                      </w:r>
                      <w:r>
                        <w:t xml:space="preserve"> de Normandie présente des niveaux d’expérimentation du tabac supérie</w:t>
                      </w:r>
                      <w:r w:rsidR="00263641">
                        <w:t xml:space="preserve">urs à la moyenne </w:t>
                      </w:r>
                      <w:r w:rsidR="0075154C">
                        <w:t>nationale</w:t>
                      </w:r>
                      <w:r w:rsidR="00263641">
                        <w:t> </w:t>
                      </w:r>
                      <w:r>
                        <w:t>: en 2017, 78</w:t>
                      </w:r>
                      <w:r w:rsidR="0075154C">
                        <w:t> </w:t>
                      </w:r>
                      <w:r w:rsidRPr="00AA164D">
                        <w:t xml:space="preserve">% des 18-75 ans </w:t>
                      </w:r>
                      <w:r>
                        <w:t>ont fumé au moins une fois dans leur vie</w:t>
                      </w:r>
                      <w:r w:rsidRPr="00AA164D">
                        <w:t>, co</w:t>
                      </w:r>
                      <w:r>
                        <w:t xml:space="preserve">ntre </w:t>
                      </w:r>
                      <w:r w:rsidR="007248C9">
                        <w:t>76</w:t>
                      </w:r>
                      <w:r>
                        <w:t> </w:t>
                      </w:r>
                      <w:r w:rsidRPr="00AA164D">
                        <w:t>% sur l’ensemb</w:t>
                      </w:r>
                      <w:r>
                        <w:t xml:space="preserve">le de la France métropolitaine. Cette différence </w:t>
                      </w:r>
                      <w:r w:rsidR="008742D8">
                        <w:t>est portée par les hommes</w:t>
                      </w:r>
                      <w:r>
                        <w:t>.</w:t>
                      </w:r>
                      <w:r w:rsidRPr="00AA164D">
                        <w:t xml:space="preserve"> </w:t>
                      </w:r>
                      <w:r>
                        <w:t xml:space="preserve">Les jeunes </w:t>
                      </w:r>
                      <w:r w:rsidR="008742D8">
                        <w:t xml:space="preserve">de 17 ans </w:t>
                      </w:r>
                      <w:r>
                        <w:t>de la région présentent quant à eux des niveaux d’usages supérieurs, quel que soit l’indicateur retenu (expérimentation,</w:t>
                      </w:r>
                      <w:r w:rsidR="008742D8">
                        <w:t xml:space="preserve"> usage</w:t>
                      </w:r>
                      <w:r>
                        <w:t xml:space="preserve"> quotidien, </w:t>
                      </w:r>
                      <w:r w:rsidR="008742D8">
                        <w:t>usage « </w:t>
                      </w:r>
                      <w:r>
                        <w:t>intensif</w:t>
                      </w:r>
                      <w:r w:rsidR="008742D8">
                        <w:t> »</w:t>
                      </w:r>
                      <w:r>
                        <w:t>)</w:t>
                      </w:r>
                      <w:r w:rsidRPr="00AA164D">
                        <w:t xml:space="preserve">. </w:t>
                      </w:r>
                      <w:r>
                        <w:t>Dans ce contexte de consommation</w:t>
                      </w:r>
                      <w:r w:rsidRPr="00AA164D">
                        <w:t xml:space="preserve">, la mortalité liée aux cancers des voies pulmonaires </w:t>
                      </w:r>
                      <w:r>
                        <w:t>y est plus élevée que dans le reste de la</w:t>
                      </w:r>
                      <w:r w:rsidR="008742D8">
                        <w:t xml:space="preserve"> France</w:t>
                      </w:r>
                      <w:r>
                        <w:t xml:space="preserve"> métropol</w:t>
                      </w:r>
                      <w:r w:rsidR="008742D8">
                        <w:t>itaine</w:t>
                      </w:r>
                      <w:r w:rsidRPr="00AA164D">
                        <w:t xml:space="preserve">. </w:t>
                      </w:r>
                    </w:p>
                    <w:p w14:paraId="485FAA95" w14:textId="0D538D9B" w:rsidR="001E2D3B" w:rsidRDefault="001E2D3B" w:rsidP="00F616B9">
                      <w:pPr>
                        <w:ind w:left="851"/>
                        <w:jc w:val="both"/>
                      </w:pPr>
                      <w:r>
                        <w:t xml:space="preserve">Les usages d’alcool en Normandie présentent un profil similaire : sur-expérimentation des adultes (97 % </w:t>
                      </w:r>
                      <w:r w:rsidRPr="007248C9">
                        <w:rPr>
                          <w:i/>
                        </w:rPr>
                        <w:t>vs</w:t>
                      </w:r>
                      <w:r>
                        <w:t xml:space="preserve"> </w:t>
                      </w:r>
                      <w:r w:rsidR="007248C9">
                        <w:t>95</w:t>
                      </w:r>
                      <w:r>
                        <w:t xml:space="preserve"> %, une différence cette fois </w:t>
                      </w:r>
                      <w:r w:rsidR="007D5EAE">
                        <w:t xml:space="preserve">imputable </w:t>
                      </w:r>
                      <w:r>
                        <w:t>aux femmes) et des jeunes de 17 ans qui se démarquent quasi-systématiquement des autres régions</w:t>
                      </w:r>
                      <w:r w:rsidR="0075154C">
                        <w:t xml:space="preserve"> </w:t>
                      </w:r>
                      <w:r>
                        <w:t>par des prévalences d’usage sensiblement plus élevées (7</w:t>
                      </w:r>
                      <w:r w:rsidR="007248C9">
                        <w:t xml:space="preserve">1 % d’usage dans le mois </w:t>
                      </w:r>
                      <w:r w:rsidR="007248C9" w:rsidRPr="00BF4D79">
                        <w:rPr>
                          <w:i/>
                        </w:rPr>
                        <w:t>vs</w:t>
                      </w:r>
                      <w:r w:rsidR="007248C9">
                        <w:t xml:space="preserve"> 66</w:t>
                      </w:r>
                      <w:r>
                        <w:t xml:space="preserve"> % </w:t>
                      </w:r>
                      <w:r w:rsidR="00263641">
                        <w:t>en France métropolitaine</w:t>
                      </w:r>
                      <w:r>
                        <w:t>). En termes de conséquences des usages, la région Normandie affiche des niveaux de mortalité prématurée liée à l’alcool</w:t>
                      </w:r>
                      <w:r w:rsidRPr="00F85A10">
                        <w:t xml:space="preserve"> </w:t>
                      </w:r>
                      <w:r>
                        <w:t>(alcoolisme et cirrhose) et d’accidents corporels supérieurs à la moyenne nationale.</w:t>
                      </w:r>
                    </w:p>
                    <w:p w14:paraId="191FF631" w14:textId="41E09D87" w:rsidR="001E2D3B" w:rsidRDefault="009369F4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La situation du cannabis </w:t>
                      </w:r>
                      <w:r w:rsidR="006A27AE">
                        <w:t xml:space="preserve">est </w:t>
                      </w:r>
                      <w:r w:rsidR="001E2D3B">
                        <w:t>diff</w:t>
                      </w:r>
                      <w:r w:rsidR="006A27AE">
                        <w:t>é</w:t>
                      </w:r>
                      <w:r>
                        <w:t>re</w:t>
                      </w:r>
                      <w:r w:rsidR="006A27AE">
                        <w:t xml:space="preserve">nte : </w:t>
                      </w:r>
                      <w:r w:rsidR="001E2D3B">
                        <w:t>globalement</w:t>
                      </w:r>
                      <w:r w:rsidR="006A27AE">
                        <w:t>,</w:t>
                      </w:r>
                      <w:r w:rsidR="001E2D3B">
                        <w:t xml:space="preserve"> les adultes et les jeunes Normands </w:t>
                      </w:r>
                      <w:r w:rsidR="0075154C">
                        <w:t>ont</w:t>
                      </w:r>
                      <w:r w:rsidR="001E2D3B">
                        <w:t xml:space="preserve"> des consommations comparables à ce</w:t>
                      </w:r>
                      <w:r w:rsidR="0075154C">
                        <w:t>lles</w:t>
                      </w:r>
                      <w:r w:rsidR="001E2D3B">
                        <w:t xml:space="preserve"> observé</w:t>
                      </w:r>
                      <w:r w:rsidR="00263641">
                        <w:t>e</w:t>
                      </w:r>
                      <w:r w:rsidR="00D36D0A">
                        <w:t>s</w:t>
                      </w:r>
                      <w:r w:rsidR="001E2D3B">
                        <w:t xml:space="preserve"> en France. Le nombre d’interpellations </w:t>
                      </w:r>
                      <w:r w:rsidR="001E2D3B" w:rsidRPr="00EA0CBA">
                        <w:rPr>
                          <w:spacing w:val="-3"/>
                        </w:rPr>
                        <w:t>pour infractions à la législ</w:t>
                      </w:r>
                      <w:r w:rsidR="001E2D3B">
                        <w:rPr>
                          <w:spacing w:val="-3"/>
                        </w:rPr>
                        <w:t xml:space="preserve">ation sur les stupéfiants (ILS) </w:t>
                      </w:r>
                      <w:r w:rsidR="001E2D3B" w:rsidRPr="00EA0CBA">
                        <w:rPr>
                          <w:spacing w:val="-3"/>
                        </w:rPr>
                        <w:t xml:space="preserve">se situe </w:t>
                      </w:r>
                      <w:r w:rsidR="006A27AE">
                        <w:rPr>
                          <w:spacing w:val="-3"/>
                        </w:rPr>
                        <w:t xml:space="preserve">cependant </w:t>
                      </w:r>
                      <w:r w:rsidR="001E2D3B" w:rsidRPr="00EA0CBA">
                        <w:rPr>
                          <w:spacing w:val="-3"/>
                        </w:rPr>
                        <w:t xml:space="preserve">à un niveau </w:t>
                      </w:r>
                      <w:r w:rsidR="00325E4D">
                        <w:rPr>
                          <w:spacing w:val="-3"/>
                        </w:rPr>
                        <w:t xml:space="preserve">bien inférieur </w:t>
                      </w:r>
                      <w:r w:rsidR="001E2D3B">
                        <w:rPr>
                          <w:spacing w:val="-3"/>
                        </w:rPr>
                        <w:t xml:space="preserve">à celui de la France </w:t>
                      </w:r>
                      <w:r w:rsidR="001E2D3B" w:rsidRPr="00EA0CBA">
                        <w:rPr>
                          <w:spacing w:val="-3"/>
                        </w:rPr>
                        <w:t>entière</w:t>
                      </w:r>
                      <w:r w:rsidR="001E2D3B">
                        <w:rPr>
                          <w:spacing w:val="-3"/>
                        </w:rPr>
                        <w:t xml:space="preserve"> (34,4 pour 10 000 </w:t>
                      </w:r>
                      <w:r w:rsidR="001E2D3B" w:rsidRPr="00BF4D79">
                        <w:rPr>
                          <w:i/>
                          <w:spacing w:val="-3"/>
                        </w:rPr>
                        <w:t>vs</w:t>
                      </w:r>
                      <w:r w:rsidR="001E2D3B">
                        <w:rPr>
                          <w:spacing w:val="-3"/>
                        </w:rPr>
                        <w:t xml:space="preserve"> 41,2).</w:t>
                      </w:r>
                    </w:p>
                    <w:p w14:paraId="7A346407" w14:textId="55822A4A" w:rsidR="001E2D3B" w:rsidRDefault="001E2D3B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S’agissant des autres produits illicites, la situation est plus contrastée : tandis que les niveaux d’usage chez</w:t>
                      </w:r>
                      <w:r w:rsidR="00D846B8">
                        <w:t xml:space="preserve"> les adultes de</w:t>
                      </w:r>
                      <w:r>
                        <w:t xml:space="preserve"> Normandie sont comparables aux autres régions pour la plupart des produits (à l’exception des poppers et de la cocaïne, inférieurs),</w:t>
                      </w:r>
                      <w:r w:rsidR="0090137B">
                        <w:t xml:space="preserve"> l</w:t>
                      </w:r>
                      <w:r>
                        <w:t xml:space="preserve">es jeunes de 17 ans </w:t>
                      </w:r>
                      <w:r w:rsidR="0075154C">
                        <w:t>o</w:t>
                      </w:r>
                      <w:r w:rsidR="0090137B">
                        <w:t>nt</w:t>
                      </w:r>
                      <w:r>
                        <w:t xml:space="preserve"> des niveaux d’expérimentation plus élevés que leurs semblables en </w:t>
                      </w:r>
                      <w:r w:rsidR="0090137B">
                        <w:t>France, e</w:t>
                      </w:r>
                      <w:r w:rsidR="00D846B8">
                        <w:t>t plus particuliè</w:t>
                      </w:r>
                      <w:r w:rsidR="0090137B">
                        <w:t>r</w:t>
                      </w:r>
                      <w:r w:rsidR="00D846B8">
                        <w:t>ement</w:t>
                      </w:r>
                      <w:r w:rsidR="0090137B">
                        <w:t xml:space="preserve"> </w:t>
                      </w:r>
                      <w:r w:rsidR="0075154C">
                        <w:t>pour les</w:t>
                      </w:r>
                      <w:r w:rsidR="0090137B">
                        <w:t xml:space="preserve"> stimulants (cocaïne et </w:t>
                      </w:r>
                      <w:r w:rsidR="007D5EAE">
                        <w:t>MDMA/</w:t>
                      </w:r>
                      <w:r w:rsidR="00F40D70">
                        <w:t>ecstasy</w:t>
                      </w:r>
                      <w:r w:rsidR="0090137B">
                        <w:t>)</w:t>
                      </w:r>
                      <w:r>
                        <w:t xml:space="preserve">. </w:t>
                      </w:r>
                    </w:p>
                    <w:p w14:paraId="46EE6384" w14:textId="77777777" w:rsidR="001E2D3B" w:rsidRDefault="001E2D3B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032C27">
        <w:t>Normandie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3294"/>
        <w:gridCol w:w="639"/>
        <w:gridCol w:w="639"/>
        <w:gridCol w:w="716"/>
        <w:gridCol w:w="793"/>
        <w:gridCol w:w="793"/>
        <w:gridCol w:w="793"/>
      </w:tblGrid>
      <w:tr w:rsidR="00AB57B2" w:rsidRPr="00450AA9" w14:paraId="6A6291B5" w14:textId="77777777" w:rsidTr="009E5582">
        <w:trPr>
          <w:trHeight w:val="300"/>
        </w:trPr>
        <w:tc>
          <w:tcPr>
            <w:tcW w:w="2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381F065A" w14:textId="77777777" w:rsidR="00AB57B2" w:rsidRPr="00450AA9" w:rsidRDefault="00AB57B2" w:rsidP="00032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9438B35" w14:textId="77777777" w:rsidR="00AB57B2" w:rsidRPr="00533B1C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032C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Normandie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F4021EE" w14:textId="77777777" w:rsidR="00AB57B2" w:rsidRPr="00533B1C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154A3A7" w14:textId="77777777" w:rsidTr="009E5582">
        <w:trPr>
          <w:trHeight w:val="540"/>
        </w:trPr>
        <w:tc>
          <w:tcPr>
            <w:tcW w:w="2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627CBC52" w14:textId="77777777" w:rsidR="00AB57B2" w:rsidRPr="00450AA9" w:rsidRDefault="00AB57B2" w:rsidP="00032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6518162" w14:textId="067BCFB5" w:rsidR="00AB57B2" w:rsidRPr="00450AA9" w:rsidRDefault="00AB57B2" w:rsidP="0052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25B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573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FDD8682" w14:textId="39F0DC11" w:rsidR="00AB57B2" w:rsidRPr="00450AA9" w:rsidRDefault="00AB57B2" w:rsidP="0052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25B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790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07E175F" w14:textId="2A338444" w:rsidR="00AB57B2" w:rsidRPr="00450AA9" w:rsidRDefault="00AB57B2" w:rsidP="0052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25B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1363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05371CE" w14:textId="77777777" w:rsidR="00AB57B2" w:rsidRPr="00450AA9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C419A97" w14:textId="77777777" w:rsidR="00AB57B2" w:rsidRPr="00450AA9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BD479E2" w14:textId="77777777" w:rsidR="00AB57B2" w:rsidRPr="00450AA9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032C27" w:rsidRPr="00450AA9" w14:paraId="53E1736D" w14:textId="77777777" w:rsidTr="009E5582">
        <w:trPr>
          <w:trHeight w:val="300"/>
        </w:trPr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FB4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8A7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0B3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49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97*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D9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97*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8D4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115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40B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032C27" w:rsidRPr="00450AA9" w14:paraId="0D2CD80E" w14:textId="77777777" w:rsidTr="009E5582">
        <w:trPr>
          <w:trHeight w:val="300"/>
        </w:trPr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F6BD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77D7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26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C9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D9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651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19CD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84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032C27" w:rsidRPr="00450AA9" w14:paraId="30B50036" w14:textId="77777777" w:rsidTr="009E5582">
        <w:trPr>
          <w:trHeight w:val="300"/>
        </w:trPr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5B4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12CD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06C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FD9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11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F1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E8D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BCB3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032C27" w:rsidRPr="00450AA9" w14:paraId="710EC708" w14:textId="77777777" w:rsidTr="009E5582">
        <w:trPr>
          <w:trHeight w:val="6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1A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627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3BC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01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FF7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24E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B5F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06E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032C27" w:rsidRPr="00450AA9" w14:paraId="07B419D8" w14:textId="77777777" w:rsidTr="009E5582">
        <w:trPr>
          <w:trHeight w:val="300"/>
        </w:trPr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6D7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A6A1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90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85*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F0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13D9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78*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1710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B99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F4EE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93202C" w:rsidRPr="00450AA9" w14:paraId="7A5D92AA" w14:textId="77777777" w:rsidTr="009E5582">
        <w:trPr>
          <w:trHeight w:val="300"/>
        </w:trPr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1C9B" w14:textId="77777777" w:rsidR="0093202C" w:rsidRPr="00450AA9" w:rsidRDefault="0093202C" w:rsidP="0093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56F" w14:textId="0EAC2768" w:rsidR="0093202C" w:rsidRPr="00450AA9" w:rsidRDefault="0093202C" w:rsidP="0093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7515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B5F9" w14:textId="28F8F09C" w:rsidR="0093202C" w:rsidRPr="00032C27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D258" w14:textId="5C1CBA2D" w:rsidR="0093202C" w:rsidRPr="00032C27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F59" w14:textId="2809C075" w:rsidR="0093202C" w:rsidRPr="00032C27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9F4" w14:textId="5509D5D6" w:rsidR="0093202C" w:rsidRPr="00D34329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E08F" w14:textId="1932AC14" w:rsidR="0093202C" w:rsidRPr="00D34329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D5DF" w14:textId="49BD8451" w:rsidR="0093202C" w:rsidRPr="00D34329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032C27" w:rsidRPr="00450AA9" w14:paraId="7D7AD1E0" w14:textId="77777777" w:rsidTr="009E5582">
        <w:trPr>
          <w:trHeight w:val="300"/>
        </w:trPr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EF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32E" w14:textId="6D99EF5A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7515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54C5" w14:textId="48715B7C" w:rsidR="00032C27" w:rsidRPr="00032C27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C0DE" w14:textId="1445D459" w:rsidR="00032C27" w:rsidRPr="00032C27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BA14" w14:textId="78C9A7C7" w:rsidR="00032C27" w:rsidRPr="00032C27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48EE" w14:textId="6F058A07" w:rsidR="00032C27" w:rsidRPr="00D34329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B7B" w14:textId="111B32CF" w:rsidR="00032C27" w:rsidRPr="00D34329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84AF" w14:textId="382F9DFF" w:rsidR="00032C27" w:rsidRPr="00D34329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032C27" w:rsidRPr="00450AA9" w14:paraId="15643F8C" w14:textId="77777777" w:rsidTr="009E5582">
        <w:trPr>
          <w:trHeight w:val="300"/>
        </w:trPr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6B9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1643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C7C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FDE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67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6B6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1A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EEA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032C27" w:rsidRPr="00450AA9" w14:paraId="6BEA8D2E" w14:textId="77777777" w:rsidTr="009E5582">
        <w:trPr>
          <w:trHeight w:val="300"/>
        </w:trPr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69B9A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303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26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2E0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D18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7AE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58B2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7E22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032C27" w:rsidRPr="00450AA9" w14:paraId="4D30D36B" w14:textId="77777777" w:rsidTr="009E5582">
        <w:trPr>
          <w:trHeight w:val="300"/>
        </w:trPr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70BB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EB1A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482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800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31C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02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4F0B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41E5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032C27" w:rsidRPr="00450AA9" w14:paraId="0D26C941" w14:textId="77777777" w:rsidTr="009E5582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98E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28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029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55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BE3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28A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7A1E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681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032C27" w:rsidRPr="00450AA9" w14:paraId="7566D9B2" w14:textId="77777777" w:rsidTr="009E5582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5C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A28C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85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413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B0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0AC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FE0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429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032C27" w:rsidRPr="00450AA9" w14:paraId="3D031A89" w14:textId="77777777" w:rsidTr="009E5582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741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B31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E2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985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B5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D7FC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A74D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D1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032C27" w:rsidRPr="00450AA9" w14:paraId="08AA9382" w14:textId="77777777" w:rsidTr="009E5582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BF4E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DC63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C5F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6D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97E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4C6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12EC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9DFB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032C27" w:rsidRPr="00450AA9" w14:paraId="6B601336" w14:textId="77777777" w:rsidTr="009E5582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63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0B2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E06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98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63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90FD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27E7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BA2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032C27" w:rsidRPr="00450AA9" w14:paraId="66B4EDC6" w14:textId="77777777" w:rsidTr="009E5582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E4E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CC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B75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496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10A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7F50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7F6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BF2D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032C27" w:rsidRPr="00450AA9" w14:paraId="160461F7" w14:textId="77777777" w:rsidTr="009E5582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A94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B2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F3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19D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F83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44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F1B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8FE0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032C27" w:rsidRPr="00450AA9" w14:paraId="7BBBED4C" w14:textId="77777777" w:rsidTr="009E5582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EF30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CF97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B4D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B0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33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357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713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EE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738B86B3" w14:textId="64CC52FB" w:rsidR="00AB57B2" w:rsidRPr="008361EB" w:rsidRDefault="009E5582" w:rsidP="00AB57B2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15393F0F" w14:textId="77777777" w:rsidR="007248C9" w:rsidRDefault="007248C9" w:rsidP="007248C9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50095B4" w14:textId="4580451C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032C27">
        <w:rPr>
          <w:rFonts w:ascii="Eurocrat" w:hAnsi="Eurocrat"/>
          <w:color w:val="00B050"/>
          <w:sz w:val="14"/>
          <w:szCs w:val="14"/>
        </w:rPr>
        <w:t>9</w:t>
      </w:r>
      <w:r w:rsidRPr="00032C27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032C27">
        <w:rPr>
          <w:rFonts w:ascii="Eurocrat" w:hAnsi="Eurocrat"/>
          <w:color w:val="4A4948"/>
          <w:sz w:val="14"/>
          <w:szCs w:val="14"/>
        </w:rPr>
        <w:t xml:space="preserve">quotidien d’alcool </w:t>
      </w:r>
      <w:r>
        <w:rPr>
          <w:rFonts w:ascii="Eurocrat" w:hAnsi="Eurocrat"/>
          <w:color w:val="4A4948"/>
          <w:sz w:val="14"/>
          <w:szCs w:val="14"/>
        </w:rPr>
        <w:t xml:space="preserve">dans la région est </w:t>
      </w:r>
      <w:r w:rsidR="000760BB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4834A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527BD030" w14:textId="040B55DF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525BAE" w:rsidRPr="00A724E9">
        <w:t xml:space="preserve">à </w:t>
      </w:r>
      <w:r w:rsidR="00525BAE">
        <w:t>l’âge adulte</w:t>
      </w:r>
      <w:r w:rsidRPr="00A724E9">
        <w:t xml:space="preserve"> dans la région </w:t>
      </w:r>
      <w:r w:rsidR="00032C27">
        <w:t>Normandie</w:t>
      </w:r>
      <w:r w:rsidRPr="00A724E9">
        <w:t xml:space="preserve"> et en France métropolitaine entre 2005 et 2017 (%)</w:t>
      </w:r>
    </w:p>
    <w:p w14:paraId="72EEAB4F" w14:textId="77777777" w:rsidR="00AB57B2" w:rsidRDefault="00FA2412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FA2412">
        <w:rPr>
          <w:noProof/>
          <w:lang w:eastAsia="fr-FR"/>
        </w:rPr>
        <w:drawing>
          <wp:inline distT="0" distB="0" distL="0" distR="0" wp14:anchorId="129C4566" wp14:editId="2CBD680A">
            <wp:extent cx="4755264" cy="2860243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205" cy="28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EE8CA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27A56739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032C27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Normandie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22"/>
        <w:gridCol w:w="763"/>
        <w:gridCol w:w="763"/>
        <w:gridCol w:w="763"/>
        <w:gridCol w:w="847"/>
        <w:gridCol w:w="847"/>
        <w:gridCol w:w="845"/>
      </w:tblGrid>
      <w:tr w:rsidR="00F6482C" w:rsidRPr="00450AA9" w14:paraId="6685833B" w14:textId="77777777" w:rsidTr="00032C27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0F75C762" w14:textId="77777777" w:rsidR="00F6482C" w:rsidRPr="00450AA9" w:rsidRDefault="00F6482C" w:rsidP="00032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46EADA1" w14:textId="77777777" w:rsidR="00F6482C" w:rsidRPr="00533B1C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032C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Normandie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507C7B7" w14:textId="77777777" w:rsidR="00F6482C" w:rsidRPr="00533B1C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29F19701" w14:textId="77777777" w:rsidTr="00032C27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2B0860C7" w14:textId="77777777" w:rsidR="00F6482C" w:rsidRPr="00450AA9" w:rsidRDefault="00F6482C" w:rsidP="00032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B756CCF" w14:textId="57297EBC" w:rsidR="00F6482C" w:rsidRPr="00450AA9" w:rsidRDefault="00F6482C" w:rsidP="00970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703E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1147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2DC3C14" w14:textId="4743D1CB" w:rsidR="00F6482C" w:rsidRPr="00450AA9" w:rsidRDefault="00F6482C" w:rsidP="00970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703E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1121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5F9C746" w14:textId="557B553B" w:rsidR="00F6482C" w:rsidRPr="00450AA9" w:rsidRDefault="00F6482C" w:rsidP="00970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703E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2268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A5E9382" w14:textId="77777777" w:rsidR="00F6482C" w:rsidRPr="00450AA9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94DBC38" w14:textId="77777777" w:rsidR="00F6482C" w:rsidRPr="00450AA9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63A6997" w14:textId="77777777" w:rsidR="00F6482C" w:rsidRPr="00450AA9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032C27" w:rsidRPr="00450AA9" w14:paraId="24785772" w14:textId="77777777" w:rsidTr="00032C27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D057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5E50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28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B63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87*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33A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88*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EB7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D9E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2D3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032C27" w:rsidRPr="00450AA9" w14:paraId="47E29472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6C2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254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CED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75*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55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67*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26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71*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9EC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A8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8B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032C27" w:rsidRPr="00450AA9" w14:paraId="7B574ED9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C130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E3C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379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99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86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0C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F652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9470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032C27" w:rsidRPr="00450AA9" w14:paraId="7B878035" w14:textId="77777777" w:rsidTr="00032C27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39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029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3E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26*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F1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DF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395C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19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F8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032C27" w:rsidRPr="00450AA9" w14:paraId="6EEE4589" w14:textId="77777777" w:rsidTr="00032C27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6ADE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2A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7C3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2E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9F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1EC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1FC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E613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032C27" w:rsidRPr="00450AA9" w14:paraId="00A6F978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826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2134" w14:textId="35916613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7515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BC0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32*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473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28*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C752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30*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36C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DFE3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BF70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032C27" w:rsidRPr="00450AA9" w14:paraId="1D5CF6DE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128A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67A" w14:textId="46CE3E8A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7515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6A1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ECA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A14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0B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1CF0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3F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032C27" w:rsidRPr="00450AA9" w14:paraId="6258A5F6" w14:textId="77777777" w:rsidTr="00032C27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559A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BC3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E6C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8C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9B3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C49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304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639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032C27" w:rsidRPr="00450AA9" w14:paraId="341B4842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CAF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8EEC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ACE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A7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23F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F1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7BD4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6E3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032C27" w:rsidRPr="00450AA9" w14:paraId="243DC517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E4FF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B60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BE2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8E7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C445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38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07F5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186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032C27" w:rsidRPr="00450AA9" w14:paraId="5E314075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A7F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D7D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3F3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160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8D0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C1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B4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F517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032C27" w:rsidRPr="00450AA9" w14:paraId="0157C4CB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9ED3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C1B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8B1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6DC9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64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77B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857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3770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032C27" w:rsidRPr="00450AA9" w14:paraId="0C4F3252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520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857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6E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9CB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75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643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11C9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2AA7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032C27" w:rsidRPr="00450AA9" w14:paraId="3B38B20F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2BC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A59E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6B5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EC1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335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D5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272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95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032C27" w:rsidRPr="00450AA9" w14:paraId="723F7E81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CD6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E1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5B3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276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16E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60E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8F65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90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032C27" w:rsidRPr="00450AA9" w14:paraId="255F0B7F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DF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237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F75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3772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0502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31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21E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F42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032C27" w:rsidRPr="00450AA9" w14:paraId="4C4AECF9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DCC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AFB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94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52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42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1B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1802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F439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032C27" w:rsidRPr="00450AA9" w14:paraId="5DF7723D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E41F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70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BC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E51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EAE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B54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88F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1C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78E66AEB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794D1C26" w14:textId="77777777" w:rsidR="007248C9" w:rsidRDefault="007248C9" w:rsidP="007248C9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423E56AF" w14:textId="64E80EEC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5015F6">
        <w:rPr>
          <w:rFonts w:ascii="Eurocrat" w:hAnsi="Eurocrat"/>
          <w:color w:val="FF0000"/>
          <w:sz w:val="14"/>
          <w:szCs w:val="14"/>
        </w:rPr>
        <w:t>87</w:t>
      </w:r>
      <w:r w:rsidR="00032C27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="000760BB">
        <w:rPr>
          <w:rFonts w:ascii="Eurocrat" w:hAnsi="Eurocrat"/>
          <w:color w:val="4A4948"/>
          <w:sz w:val="14"/>
          <w:szCs w:val="14"/>
        </w:rPr>
        <w:t>signifie que le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</w:t>
      </w:r>
      <w:r w:rsidR="005015F6">
        <w:rPr>
          <w:rFonts w:ascii="Eurocrat" w:hAnsi="Eurocrat"/>
          <w:color w:val="4A4948"/>
          <w:sz w:val="14"/>
          <w:szCs w:val="14"/>
        </w:rPr>
        <w:t>de l’alcool des femmes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0760BB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4834A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90E6FFA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032C27">
        <w:t>Normandie</w:t>
      </w:r>
      <w:r w:rsidR="00450AA9" w:rsidRPr="00F616B9">
        <w:t xml:space="preserve"> et en France métropolitaine entre 2005 et 2017 (%)</w:t>
      </w:r>
    </w:p>
    <w:p w14:paraId="39EABEA2" w14:textId="77777777" w:rsidR="00EC2B3A" w:rsidRDefault="00FA2412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FA2412">
        <w:rPr>
          <w:noProof/>
          <w:lang w:eastAsia="fr-FR"/>
        </w:rPr>
        <w:drawing>
          <wp:inline distT="0" distB="0" distL="0" distR="0" wp14:anchorId="1584677B" wp14:editId="5FD0162E">
            <wp:extent cx="4476902" cy="257470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795" cy="258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2D95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2980A8F0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lastRenderedPageBreak/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2CC7E66E" w14:textId="77777777" w:rsidTr="00AE4C44">
        <w:tc>
          <w:tcPr>
            <w:tcW w:w="2207" w:type="dxa"/>
            <w:shd w:val="clear" w:color="auto" w:fill="D5D5CB"/>
            <w:vAlign w:val="center"/>
          </w:tcPr>
          <w:p w14:paraId="47DDD774" w14:textId="77777777" w:rsidR="00C41E43" w:rsidRPr="005E3085" w:rsidRDefault="00C41E43" w:rsidP="00CC7433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249F55EF" w14:textId="77777777" w:rsidR="00C41E43" w:rsidRPr="005E3085" w:rsidRDefault="00C41E43" w:rsidP="00CC7433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0FB06EAB" w14:textId="77777777" w:rsidR="00C41E43" w:rsidRPr="00DC15D8" w:rsidRDefault="00032C27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Normandie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7E925C7A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4FF2A3AA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2A7D879A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032C27" w:rsidRPr="00DC15D8" w14:paraId="270EBE09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0BDFC861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316F07B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2145DD9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6,4</w:t>
            </w:r>
          </w:p>
        </w:tc>
        <w:tc>
          <w:tcPr>
            <w:tcW w:w="1732" w:type="dxa"/>
            <w:vAlign w:val="center"/>
          </w:tcPr>
          <w:p w14:paraId="22612C65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04F0DB03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032C27" w:rsidRPr="00DC15D8" w14:paraId="2AE4C515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7B9D1EBB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5B0E65E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7E82767E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3,3</w:t>
            </w:r>
          </w:p>
        </w:tc>
        <w:tc>
          <w:tcPr>
            <w:tcW w:w="1732" w:type="dxa"/>
            <w:vAlign w:val="center"/>
          </w:tcPr>
          <w:p w14:paraId="6E08B183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5E8EE49A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032C27" w:rsidRPr="00DC15D8" w14:paraId="3A9B4BAC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25698801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C934BE1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19D2D573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</w:t>
            </w:r>
          </w:p>
        </w:tc>
        <w:tc>
          <w:tcPr>
            <w:tcW w:w="1732" w:type="dxa"/>
            <w:vAlign w:val="center"/>
          </w:tcPr>
          <w:p w14:paraId="48536708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42A477F8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032C27" w:rsidRPr="00DC15D8" w14:paraId="6D5D480B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72B2D282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142BAF0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080A70D1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27,9</w:t>
            </w:r>
          </w:p>
        </w:tc>
        <w:tc>
          <w:tcPr>
            <w:tcW w:w="1732" w:type="dxa"/>
            <w:vAlign w:val="center"/>
          </w:tcPr>
          <w:p w14:paraId="1396BD6C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18ED9441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032C27" w:rsidRPr="00DC15D8" w14:paraId="2825A5F1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2EA1C44F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0EF4DD59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62DC6038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22,4</w:t>
            </w:r>
          </w:p>
        </w:tc>
        <w:tc>
          <w:tcPr>
            <w:tcW w:w="1732" w:type="dxa"/>
            <w:vAlign w:val="center"/>
          </w:tcPr>
          <w:p w14:paraId="3B6429B9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0CA16ED5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032C27" w:rsidRPr="00DC15D8" w14:paraId="18B2A500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475BC9BE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27576AE5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5FACAA1B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363,1</w:t>
            </w:r>
          </w:p>
        </w:tc>
        <w:tc>
          <w:tcPr>
            <w:tcW w:w="1732" w:type="dxa"/>
            <w:vAlign w:val="center"/>
          </w:tcPr>
          <w:p w14:paraId="7E06C29E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64652E6B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032C27" w:rsidRPr="00DC15D8" w14:paraId="6930EB59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870BA95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37B2A7D8" w14:textId="77777777" w:rsidR="00032C27" w:rsidRPr="00DC15D8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5BDDC868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0,7</w:t>
            </w:r>
          </w:p>
        </w:tc>
        <w:tc>
          <w:tcPr>
            <w:tcW w:w="1732" w:type="dxa"/>
            <w:vAlign w:val="center"/>
          </w:tcPr>
          <w:p w14:paraId="665E2DCC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460FDA27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</w:tbl>
    <w:p w14:paraId="2959F086" w14:textId="77777777" w:rsidR="002718CC" w:rsidRDefault="002718CC" w:rsidP="008361EB">
      <w:pPr>
        <w:pStyle w:val="Sous-titre"/>
        <w:rPr>
          <w:rFonts w:eastAsia="Arial Unicode MS"/>
        </w:rPr>
      </w:pPr>
    </w:p>
    <w:p w14:paraId="14C1A5BA" w14:textId="475BD728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</w:p>
    <w:p w14:paraId="63FF95BA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5F1FF382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67CDB47D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286D6EBC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59921FB0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55D67B94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204FB209" w14:textId="77777777" w:rsidR="00C41E43" w:rsidRPr="00533B1C" w:rsidRDefault="00032C27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Normandie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2C6DD1DF" w14:textId="7EA01349" w:rsidR="00C41E43" w:rsidRPr="00533B1C" w:rsidRDefault="004834A8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0C19203F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3AF6C842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032C27" w14:paraId="29761C1D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093DE536" w14:textId="77777777" w:rsidR="00032C27" w:rsidRPr="005E3085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268F03F6" w14:textId="77777777" w:rsidR="00032C27" w:rsidRPr="005E3085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5797C8CF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13,3</w:t>
            </w:r>
          </w:p>
        </w:tc>
        <w:tc>
          <w:tcPr>
            <w:tcW w:w="1711" w:type="dxa"/>
            <w:vAlign w:val="center"/>
          </w:tcPr>
          <w:p w14:paraId="74FFA23C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0DFFCD5D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032C27" w14:paraId="4BF7BA7B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33214845" w14:textId="77777777" w:rsidR="00032C27" w:rsidRPr="005E3085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1EDE60B3" w14:textId="77777777" w:rsidR="00032C27" w:rsidRPr="005E3085" w:rsidRDefault="00032C27" w:rsidP="00032C27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54308081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34,4</w:t>
            </w:r>
          </w:p>
        </w:tc>
        <w:tc>
          <w:tcPr>
            <w:tcW w:w="1711" w:type="dxa"/>
            <w:vAlign w:val="center"/>
          </w:tcPr>
          <w:p w14:paraId="63BEA7A8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2432CD39" w14:textId="77777777" w:rsidR="00032C27" w:rsidRDefault="00032C27" w:rsidP="00032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</w:tbl>
    <w:p w14:paraId="79B9D20D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2718CC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6ACD" w14:textId="77777777" w:rsidR="001E2D3B" w:rsidRDefault="001E2D3B" w:rsidP="009C1862">
      <w:pPr>
        <w:spacing w:after="0" w:line="240" w:lineRule="auto"/>
      </w:pPr>
      <w:r>
        <w:separator/>
      </w:r>
    </w:p>
  </w:endnote>
  <w:endnote w:type="continuationSeparator" w:id="0">
    <w:p w14:paraId="24269A7F" w14:textId="77777777" w:rsidR="001E2D3B" w:rsidRDefault="001E2D3B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54FE" w14:textId="15347A8D" w:rsidR="001E2D3B" w:rsidRPr="00AE3AC0" w:rsidRDefault="002718CC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5D78A7C7" wp14:editId="401A2DCD">
          <wp:extent cx="247650" cy="247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68" cy="24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1E2D3B" w:rsidRPr="00AE3AC0">
      <w:rPr>
        <w:b/>
        <w:color w:val="767171"/>
        <w:sz w:val="20"/>
        <w:szCs w:val="20"/>
      </w:rPr>
      <w:t>© OFDT – Données extraites de la base ODICER (https://odicer.ofdt.fr/</w:t>
    </w:r>
    <w:r w:rsidR="0075154C">
      <w:rPr>
        <w:b/>
        <w:color w:val="767171"/>
        <w:sz w:val="20"/>
        <w:szCs w:val="20"/>
      </w:rPr>
      <w:t>mobile.php</w:t>
    </w:r>
    <w:r w:rsidR="001E2D3B" w:rsidRPr="00AE3AC0">
      <w:rPr>
        <w:b/>
        <w:color w:val="767171"/>
        <w:sz w:val="20"/>
        <w:szCs w:val="20"/>
      </w:rPr>
      <w:t>)</w:t>
    </w:r>
  </w:p>
  <w:p w14:paraId="068599E0" w14:textId="77777777" w:rsidR="001E2D3B" w:rsidRDefault="001E2D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68A4" w14:textId="77777777" w:rsidR="001E2D3B" w:rsidRDefault="001E2D3B" w:rsidP="009C1862">
      <w:pPr>
        <w:spacing w:after="0" w:line="240" w:lineRule="auto"/>
      </w:pPr>
      <w:r>
        <w:separator/>
      </w:r>
    </w:p>
  </w:footnote>
  <w:footnote w:type="continuationSeparator" w:id="0">
    <w:p w14:paraId="5B87526F" w14:textId="77777777" w:rsidR="001E2D3B" w:rsidRDefault="001E2D3B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C76"/>
    <w:rsid w:val="00032C27"/>
    <w:rsid w:val="00042106"/>
    <w:rsid w:val="000760BB"/>
    <w:rsid w:val="000F12BC"/>
    <w:rsid w:val="000F59CE"/>
    <w:rsid w:val="000F609D"/>
    <w:rsid w:val="001175CB"/>
    <w:rsid w:val="00117B8B"/>
    <w:rsid w:val="0012151D"/>
    <w:rsid w:val="00134A9B"/>
    <w:rsid w:val="0014685F"/>
    <w:rsid w:val="001A385F"/>
    <w:rsid w:val="001E2849"/>
    <w:rsid w:val="001E2D3B"/>
    <w:rsid w:val="001F7C76"/>
    <w:rsid w:val="00212A7B"/>
    <w:rsid w:val="00263641"/>
    <w:rsid w:val="002718CC"/>
    <w:rsid w:val="00297D29"/>
    <w:rsid w:val="00325E4D"/>
    <w:rsid w:val="00340BB1"/>
    <w:rsid w:val="00346D5C"/>
    <w:rsid w:val="00357DAB"/>
    <w:rsid w:val="00395489"/>
    <w:rsid w:val="00444F5B"/>
    <w:rsid w:val="00450AA9"/>
    <w:rsid w:val="004834A8"/>
    <w:rsid w:val="004F2570"/>
    <w:rsid w:val="005015F6"/>
    <w:rsid w:val="00525BAE"/>
    <w:rsid w:val="00533B1C"/>
    <w:rsid w:val="00557DB0"/>
    <w:rsid w:val="005C7D85"/>
    <w:rsid w:val="005E3085"/>
    <w:rsid w:val="00643EF2"/>
    <w:rsid w:val="006446A1"/>
    <w:rsid w:val="00672F96"/>
    <w:rsid w:val="006A27AE"/>
    <w:rsid w:val="006E4378"/>
    <w:rsid w:val="007248C9"/>
    <w:rsid w:val="0075154C"/>
    <w:rsid w:val="00761678"/>
    <w:rsid w:val="007D5EAE"/>
    <w:rsid w:val="007F1849"/>
    <w:rsid w:val="008361EB"/>
    <w:rsid w:val="00867DB9"/>
    <w:rsid w:val="008742D8"/>
    <w:rsid w:val="0089402F"/>
    <w:rsid w:val="008948E0"/>
    <w:rsid w:val="00897AD5"/>
    <w:rsid w:val="0090137B"/>
    <w:rsid w:val="0093202C"/>
    <w:rsid w:val="009369F4"/>
    <w:rsid w:val="009703EE"/>
    <w:rsid w:val="009C1862"/>
    <w:rsid w:val="009E5582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66DE2"/>
    <w:rsid w:val="00BF4D79"/>
    <w:rsid w:val="00C048FD"/>
    <w:rsid w:val="00C11140"/>
    <w:rsid w:val="00C1652D"/>
    <w:rsid w:val="00C41E43"/>
    <w:rsid w:val="00C8318B"/>
    <w:rsid w:val="00CB02F4"/>
    <w:rsid w:val="00CB5416"/>
    <w:rsid w:val="00CC7433"/>
    <w:rsid w:val="00CE4744"/>
    <w:rsid w:val="00D34329"/>
    <w:rsid w:val="00D34C73"/>
    <w:rsid w:val="00D36D0A"/>
    <w:rsid w:val="00D846B8"/>
    <w:rsid w:val="00DC15D8"/>
    <w:rsid w:val="00E852E0"/>
    <w:rsid w:val="00EC2B3A"/>
    <w:rsid w:val="00F21E1B"/>
    <w:rsid w:val="00F40D70"/>
    <w:rsid w:val="00F4642A"/>
    <w:rsid w:val="00F616B9"/>
    <w:rsid w:val="00F6482C"/>
    <w:rsid w:val="00FA2412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8F0709E"/>
  <w15:docId w15:val="{CFE0E546-B78B-4FB7-9994-A9C2656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69</cp:revision>
  <cp:lastPrinted>2019-12-10T15:48:00Z</cp:lastPrinted>
  <dcterms:created xsi:type="dcterms:W3CDTF">2019-07-25T12:02:00Z</dcterms:created>
  <dcterms:modified xsi:type="dcterms:W3CDTF">2020-06-23T08:39:00Z</dcterms:modified>
</cp:coreProperties>
</file>